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4C2B46">
      <w:pPr>
        <w:tabs>
          <w:tab w:val="left" w:pos="9030"/>
        </w:tabs>
        <w:snapToGrid w:val="0"/>
        <w:spacing w:line="360" w:lineRule="auto"/>
        <w:ind w:right="-62"/>
        <w:jc w:val="center"/>
        <w:outlineLvl w:val="0"/>
        <w:rPr>
          <w:rFonts w:ascii="仿宋_GB2312" w:hAnsi="仿宋_GB2312" w:eastAsia="仿宋_GB2312" w:cs="仿宋_GB2312"/>
          <w:b/>
          <w:bCs/>
          <w:sz w:val="28"/>
          <w:szCs w:val="28"/>
          <w:highlight w:val="none"/>
          <w:lang w:val="zh-CN"/>
        </w:rPr>
      </w:pPr>
      <w:bookmarkStart w:id="0" w:name="_Toc14547"/>
      <w:bookmarkStart w:id="1" w:name="_Toc6436"/>
      <w:r>
        <w:rPr>
          <w:rFonts w:hint="eastAsia" w:ascii="仿宋_GB2312" w:hAnsi="仿宋_GB2312" w:eastAsia="仿宋_GB2312" w:cs="仿宋_GB2312"/>
          <w:b/>
          <w:bCs/>
          <w:sz w:val="28"/>
          <w:szCs w:val="28"/>
          <w:highlight w:val="none"/>
          <w:lang w:val="zh-CN"/>
        </w:rPr>
        <w:t>拟签订的合同条款文本</w:t>
      </w:r>
      <w:bookmarkEnd w:id="0"/>
      <w:bookmarkEnd w:id="1"/>
    </w:p>
    <w:p w14:paraId="3DEE2A48">
      <w:pPr>
        <w:pStyle w:val="7"/>
        <w:jc w:val="center"/>
        <w:rPr>
          <w:rFonts w:ascii="仿宋_GB2312" w:hAnsi="仿宋_GB2312" w:eastAsia="仿宋_GB2312" w:cs="仿宋_GB2312"/>
          <w:color w:val="auto"/>
          <w:sz w:val="28"/>
          <w:szCs w:val="28"/>
          <w:highlight w:val="none"/>
          <w:lang w:val="zh-CN"/>
        </w:rPr>
      </w:pPr>
      <w:r>
        <w:rPr>
          <w:rFonts w:hint="eastAsia" w:ascii="仿宋_GB2312" w:hAnsi="仿宋_GB2312" w:eastAsia="仿宋_GB2312" w:cs="仿宋_GB2312"/>
          <w:color w:val="auto"/>
          <w:sz w:val="28"/>
          <w:szCs w:val="28"/>
          <w:highlight w:val="none"/>
          <w:lang w:val="zh-CN"/>
        </w:rPr>
        <w:t>（</w:t>
      </w:r>
      <w:r>
        <w:rPr>
          <w:rFonts w:hint="eastAsia" w:ascii="仿宋_GB2312" w:hAnsi="仿宋_GB2312" w:eastAsia="仿宋_GB2312" w:cs="仿宋_GB2312"/>
          <w:color w:val="auto"/>
          <w:sz w:val="28"/>
          <w:szCs w:val="28"/>
          <w:highlight w:val="none"/>
          <w:lang w:val="en-US" w:eastAsia="zh-CN"/>
        </w:rPr>
        <w:t>参考模板，</w:t>
      </w:r>
      <w:r>
        <w:rPr>
          <w:rFonts w:hint="eastAsia" w:ascii="仿宋_GB2312" w:hAnsi="仿宋_GB2312" w:eastAsia="仿宋_GB2312" w:cs="仿宋_GB2312"/>
          <w:color w:val="auto"/>
          <w:sz w:val="28"/>
          <w:szCs w:val="28"/>
          <w:highlight w:val="none"/>
          <w:lang w:val="zh-CN"/>
        </w:rPr>
        <w:t>具体以实际签订合同文本）</w:t>
      </w:r>
    </w:p>
    <w:p w14:paraId="30C833CC">
      <w:pPr>
        <w:spacing w:line="560" w:lineRule="exact"/>
        <w:jc w:val="center"/>
        <w:rPr>
          <w:rFonts w:ascii="仿宋_GB2312" w:hAnsi="仿宋_GB2312" w:eastAsia="仿宋_GB2312" w:cs="仿宋_GB2312"/>
          <w:b/>
          <w:sz w:val="28"/>
          <w:szCs w:val="28"/>
          <w:highlight w:val="none"/>
        </w:rPr>
      </w:pPr>
    </w:p>
    <w:p w14:paraId="1649192A">
      <w:pPr>
        <w:spacing w:line="560" w:lineRule="exact"/>
        <w:jc w:val="center"/>
        <w:rPr>
          <w:rFonts w:ascii="仿宋_GB2312" w:hAnsi="仿宋_GB2312" w:eastAsia="仿宋_GB2312" w:cs="仿宋_GB2312"/>
          <w:b/>
          <w:sz w:val="28"/>
          <w:szCs w:val="28"/>
          <w:highlight w:val="none"/>
        </w:rPr>
      </w:pPr>
    </w:p>
    <w:p w14:paraId="7469CCE8">
      <w:pPr>
        <w:spacing w:line="560" w:lineRule="exact"/>
        <w:jc w:val="center"/>
        <w:rPr>
          <w:rFonts w:ascii="仿宋_GB2312" w:hAnsi="仿宋_GB2312" w:eastAsia="仿宋_GB2312" w:cs="仿宋_GB2312"/>
          <w:b/>
          <w:sz w:val="28"/>
          <w:szCs w:val="28"/>
          <w:highlight w:val="none"/>
        </w:rPr>
      </w:pPr>
    </w:p>
    <w:p w14:paraId="34262251">
      <w:pPr>
        <w:spacing w:line="560" w:lineRule="exact"/>
        <w:jc w:val="center"/>
        <w:rPr>
          <w:rFonts w:ascii="仿宋_GB2312" w:hAnsi="仿宋_GB2312" w:eastAsia="仿宋_GB2312" w:cs="仿宋_GB2312"/>
          <w:b/>
          <w:sz w:val="28"/>
          <w:szCs w:val="28"/>
          <w:highlight w:val="none"/>
        </w:rPr>
      </w:pPr>
    </w:p>
    <w:p w14:paraId="3EE4B4AD">
      <w:pPr>
        <w:pStyle w:val="7"/>
        <w:jc w:val="center"/>
        <w:rPr>
          <w:rFonts w:ascii="仿宋_GB2312" w:hAnsi="仿宋_GB2312" w:eastAsia="仿宋_GB2312" w:cs="仿宋_GB2312"/>
          <w:b/>
          <w:bCs/>
          <w:color w:val="auto"/>
          <w:spacing w:val="-20"/>
          <w:kern w:val="44"/>
          <w:sz w:val="48"/>
          <w:szCs w:val="48"/>
          <w:highlight w:val="none"/>
        </w:rPr>
      </w:pPr>
      <w:r>
        <w:rPr>
          <w:rFonts w:hint="eastAsia" w:ascii="仿宋_GB2312" w:hAnsi="仿宋_GB2312" w:eastAsia="仿宋_GB2312" w:cs="仿宋_GB2312"/>
          <w:b/>
          <w:bCs/>
          <w:color w:val="auto"/>
          <w:spacing w:val="-20"/>
          <w:kern w:val="44"/>
          <w:sz w:val="48"/>
          <w:szCs w:val="48"/>
          <w:highlight w:val="none"/>
        </w:rPr>
        <w:t>西北妇女儿童医院</w:t>
      </w:r>
    </w:p>
    <w:p w14:paraId="7EF773F8">
      <w:pPr>
        <w:pStyle w:val="7"/>
        <w:jc w:val="center"/>
        <w:rPr>
          <w:rFonts w:hint="eastAsia" w:ascii="仿宋_GB2312" w:hAnsi="仿宋_GB2312" w:eastAsia="仿宋_GB2312" w:cs="仿宋_GB2312"/>
          <w:b/>
          <w:bCs/>
          <w:color w:val="auto"/>
          <w:spacing w:val="-20"/>
          <w:kern w:val="44"/>
          <w:sz w:val="48"/>
          <w:szCs w:val="48"/>
          <w:highlight w:val="none"/>
          <w:lang w:eastAsia="zh-CN"/>
        </w:rPr>
      </w:pPr>
      <w:r>
        <w:rPr>
          <w:rFonts w:hint="eastAsia" w:ascii="仿宋_GB2312" w:hAnsi="仿宋_GB2312" w:eastAsia="仿宋_GB2312" w:cs="仿宋_GB2312"/>
          <w:b/>
          <w:bCs/>
          <w:color w:val="auto"/>
          <w:spacing w:val="-20"/>
          <w:kern w:val="44"/>
          <w:sz w:val="48"/>
          <w:szCs w:val="48"/>
          <w:highlight w:val="none"/>
          <w:lang w:eastAsia="zh-CN"/>
        </w:rPr>
        <w:t>一次性使用灭菌橡胶外科手套等耗材采购项目</w:t>
      </w:r>
    </w:p>
    <w:p w14:paraId="16477EAA">
      <w:pPr>
        <w:pStyle w:val="7"/>
        <w:jc w:val="center"/>
        <w:rPr>
          <w:rFonts w:ascii="仿宋_GB2312" w:hAnsi="仿宋_GB2312" w:eastAsia="仿宋_GB2312" w:cs="仿宋_GB2312"/>
          <w:b/>
          <w:bCs/>
          <w:spacing w:val="-20"/>
          <w:kern w:val="44"/>
          <w:sz w:val="48"/>
          <w:szCs w:val="48"/>
          <w:highlight w:val="none"/>
        </w:rPr>
      </w:pPr>
      <w:r>
        <w:rPr>
          <w:rFonts w:hint="eastAsia" w:ascii="仿宋_GB2312" w:hAnsi="仿宋_GB2312" w:eastAsia="仿宋_GB2312" w:cs="仿宋_GB2312"/>
          <w:b/>
          <w:bCs/>
          <w:color w:val="auto"/>
          <w:spacing w:val="-20"/>
          <w:kern w:val="44"/>
          <w:sz w:val="48"/>
          <w:szCs w:val="48"/>
          <w:highlight w:val="none"/>
        </w:rPr>
        <w:t>合同</w:t>
      </w:r>
    </w:p>
    <w:p w14:paraId="4D9082AE">
      <w:pPr>
        <w:rPr>
          <w:rFonts w:ascii="仿宋_GB2312" w:hAnsi="仿宋_GB2312" w:eastAsia="仿宋_GB2312" w:cs="仿宋_GB2312"/>
          <w:b/>
          <w:bCs/>
          <w:spacing w:val="-20"/>
          <w:kern w:val="44"/>
          <w:sz w:val="40"/>
          <w:szCs w:val="40"/>
          <w:highlight w:val="none"/>
        </w:rPr>
      </w:pPr>
    </w:p>
    <w:p w14:paraId="2FC94D07">
      <w:pPr>
        <w:rPr>
          <w:rFonts w:ascii="仿宋_GB2312" w:hAnsi="仿宋_GB2312" w:eastAsia="仿宋_GB2312" w:cs="仿宋_GB2312"/>
          <w:b/>
          <w:bCs/>
          <w:spacing w:val="-20"/>
          <w:kern w:val="44"/>
          <w:sz w:val="40"/>
          <w:szCs w:val="40"/>
          <w:highlight w:val="none"/>
        </w:rPr>
      </w:pPr>
    </w:p>
    <w:p w14:paraId="284FF2C4">
      <w:pPr>
        <w:rPr>
          <w:rFonts w:ascii="仿宋_GB2312" w:hAnsi="仿宋_GB2312" w:eastAsia="仿宋_GB2312" w:cs="仿宋_GB2312"/>
          <w:b/>
          <w:bCs/>
          <w:spacing w:val="-20"/>
          <w:kern w:val="44"/>
          <w:sz w:val="40"/>
          <w:szCs w:val="40"/>
          <w:highlight w:val="none"/>
        </w:rPr>
      </w:pPr>
    </w:p>
    <w:p w14:paraId="530A4EFA">
      <w:pPr>
        <w:widowControl/>
        <w:ind w:firstLine="320" w:firstLineChars="100"/>
        <w:jc w:val="left"/>
        <w:rPr>
          <w:rFonts w:ascii="仿宋_GB2312" w:hAnsi="仿宋_GB2312" w:eastAsia="仿宋_GB2312" w:cs="仿宋_GB2312"/>
          <w:highlight w:val="none"/>
          <w:u w:val="single"/>
        </w:rPr>
      </w:pPr>
      <w:r>
        <w:rPr>
          <w:rFonts w:hint="eastAsia" w:ascii="仿宋_GB2312" w:hAnsi="仿宋_GB2312" w:eastAsia="仿宋_GB2312" w:cs="仿宋_GB2312"/>
          <w:kern w:val="0"/>
          <w:sz w:val="32"/>
          <w:szCs w:val="32"/>
          <w:highlight w:val="none"/>
        </w:rPr>
        <w:t>项目名称：</w:t>
      </w:r>
      <w:r>
        <w:rPr>
          <w:rFonts w:hint="eastAsia" w:ascii="仿宋_GB2312" w:hAnsi="仿宋_GB2312" w:eastAsia="仿宋_GB2312" w:cs="仿宋_GB2312"/>
          <w:kern w:val="0"/>
          <w:sz w:val="32"/>
          <w:szCs w:val="32"/>
          <w:highlight w:val="none"/>
          <w:u w:val="single"/>
          <w:lang w:eastAsia="zh-CN"/>
        </w:rPr>
        <w:t>一次性使用灭菌橡胶外科手套等耗材采购项目</w:t>
      </w:r>
      <w:r>
        <w:rPr>
          <w:rFonts w:hint="eastAsia" w:ascii="仿宋_GB2312" w:hAnsi="仿宋_GB2312" w:eastAsia="仿宋_GB2312" w:cs="仿宋_GB2312"/>
          <w:sz w:val="32"/>
          <w:szCs w:val="32"/>
          <w:highlight w:val="none"/>
          <w:u w:val="single"/>
        </w:rPr>
        <w:t xml:space="preserve">       </w:t>
      </w:r>
      <w:r>
        <w:rPr>
          <w:rFonts w:hint="eastAsia" w:ascii="仿宋_GB2312" w:hAnsi="仿宋_GB2312" w:eastAsia="仿宋_GB2312" w:cs="仿宋_GB2312"/>
          <w:sz w:val="32"/>
          <w:szCs w:val="32"/>
          <w:highlight w:val="none"/>
          <w:u w:val="single"/>
          <w:lang w:val="en-US" w:eastAsia="zh-CN"/>
        </w:rPr>
        <w:t xml:space="preserve">        </w:t>
      </w:r>
      <w:r>
        <w:rPr>
          <w:rFonts w:hint="eastAsia" w:ascii="仿宋_GB2312" w:hAnsi="仿宋_GB2312" w:eastAsia="仿宋_GB2312" w:cs="仿宋_GB2312"/>
          <w:sz w:val="32"/>
          <w:szCs w:val="32"/>
          <w:highlight w:val="none"/>
          <w:u w:val="single"/>
        </w:rPr>
        <w:t xml:space="preserve">  </w:t>
      </w:r>
    </w:p>
    <w:p w14:paraId="6BE34C06">
      <w:pPr>
        <w:spacing w:line="360" w:lineRule="auto"/>
        <w:ind w:firstLine="320" w:firstLineChars="100"/>
        <w:rPr>
          <w:rFonts w:hint="default" w:ascii="仿宋_GB2312" w:hAnsi="仿宋_GB2312" w:eastAsia="仿宋_GB2312" w:cs="仿宋_GB2312"/>
          <w:sz w:val="32"/>
          <w:szCs w:val="32"/>
          <w:highlight w:val="none"/>
          <w:u w:val="single"/>
          <w:lang w:val="en-US" w:eastAsia="zh-CN"/>
        </w:rPr>
      </w:pPr>
      <w:r>
        <w:rPr>
          <w:rFonts w:hint="eastAsia" w:ascii="仿宋_GB2312" w:hAnsi="仿宋_GB2312" w:eastAsia="仿宋_GB2312" w:cs="仿宋_GB2312"/>
          <w:sz w:val="32"/>
          <w:szCs w:val="32"/>
          <w:highlight w:val="none"/>
        </w:rPr>
        <w:t>甲    方：</w:t>
      </w:r>
      <w:r>
        <w:rPr>
          <w:rFonts w:hint="eastAsia" w:ascii="仿宋_GB2312" w:hAnsi="仿宋_GB2312" w:eastAsia="仿宋_GB2312" w:cs="仿宋_GB2312"/>
          <w:sz w:val="32"/>
          <w:szCs w:val="32"/>
          <w:highlight w:val="none"/>
          <w:u w:val="single"/>
        </w:rPr>
        <w:t xml:space="preserve">西北妇女儿童医院                 </w:t>
      </w:r>
      <w:r>
        <w:rPr>
          <w:rFonts w:hint="eastAsia" w:ascii="仿宋_GB2312" w:hAnsi="仿宋_GB2312" w:eastAsia="仿宋_GB2312" w:cs="仿宋_GB2312"/>
          <w:sz w:val="32"/>
          <w:szCs w:val="32"/>
          <w:highlight w:val="none"/>
          <w:u w:val="single"/>
          <w:lang w:val="en-US" w:eastAsia="zh-CN"/>
        </w:rPr>
        <w:t xml:space="preserve">               </w:t>
      </w:r>
    </w:p>
    <w:p w14:paraId="23B55DC7">
      <w:pPr>
        <w:spacing w:line="360" w:lineRule="auto"/>
        <w:ind w:firstLine="320" w:firstLineChars="100"/>
        <w:rPr>
          <w:rFonts w:hint="default" w:ascii="仿宋_GB2312" w:hAnsi="仿宋_GB2312" w:eastAsia="仿宋_GB2312" w:cs="仿宋_GB2312"/>
          <w:sz w:val="32"/>
          <w:szCs w:val="32"/>
          <w:highlight w:val="none"/>
          <w:u w:val="single"/>
          <w:lang w:val="en-US" w:eastAsia="zh-CN"/>
        </w:rPr>
      </w:pPr>
      <w:r>
        <w:rPr>
          <w:rFonts w:hint="eastAsia" w:ascii="仿宋_GB2312" w:hAnsi="仿宋_GB2312" w:eastAsia="仿宋_GB2312" w:cs="仿宋_GB2312"/>
          <w:sz w:val="32"/>
          <w:szCs w:val="32"/>
          <w:highlight w:val="none"/>
        </w:rPr>
        <w:t>乙    方：</w:t>
      </w:r>
      <w:r>
        <w:rPr>
          <w:rFonts w:hint="eastAsia" w:ascii="仿宋_GB2312" w:hAnsi="仿宋_GB2312" w:eastAsia="仿宋_GB2312" w:cs="仿宋_GB2312"/>
          <w:sz w:val="32"/>
          <w:szCs w:val="32"/>
          <w:highlight w:val="none"/>
          <w:u w:val="single"/>
        </w:rPr>
        <w:t xml:space="preserve">                                 </w:t>
      </w:r>
      <w:r>
        <w:rPr>
          <w:rFonts w:hint="eastAsia" w:ascii="仿宋_GB2312" w:hAnsi="仿宋_GB2312" w:eastAsia="仿宋_GB2312" w:cs="仿宋_GB2312"/>
          <w:sz w:val="32"/>
          <w:szCs w:val="32"/>
          <w:highlight w:val="none"/>
          <w:u w:val="single"/>
          <w:lang w:val="en-US" w:eastAsia="zh-CN"/>
        </w:rPr>
        <w:t xml:space="preserve">               </w:t>
      </w:r>
    </w:p>
    <w:p w14:paraId="61E41CCE">
      <w:pPr>
        <w:spacing w:line="360" w:lineRule="auto"/>
        <w:ind w:firstLine="320" w:firstLineChars="100"/>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t>签订时间：</w:t>
      </w:r>
      <w:r>
        <w:rPr>
          <w:rFonts w:hint="eastAsia" w:ascii="仿宋_GB2312" w:hAnsi="仿宋_GB2312" w:eastAsia="仿宋_GB2312" w:cs="仿宋_GB2312"/>
          <w:sz w:val="32"/>
          <w:szCs w:val="32"/>
          <w:highlight w:val="none"/>
          <w:u w:val="single"/>
        </w:rPr>
        <w:t xml:space="preserve">                                 </w:t>
      </w:r>
      <w:r>
        <w:rPr>
          <w:rFonts w:hint="eastAsia" w:ascii="仿宋_GB2312" w:hAnsi="仿宋_GB2312" w:eastAsia="仿宋_GB2312" w:cs="仿宋_GB2312"/>
          <w:sz w:val="32"/>
          <w:szCs w:val="32"/>
          <w:highlight w:val="none"/>
          <w:u w:val="single"/>
          <w:lang w:val="en-US" w:eastAsia="zh-CN"/>
        </w:rPr>
        <w:t xml:space="preserve">               </w:t>
      </w:r>
    </w:p>
    <w:p w14:paraId="4ABA4E01">
      <w:pPr>
        <w:rPr>
          <w:highlight w:val="none"/>
        </w:rPr>
      </w:pPr>
    </w:p>
    <w:p w14:paraId="596B6F3C">
      <w:pPr>
        <w:rPr>
          <w:rFonts w:eastAsia="黑体"/>
          <w:sz w:val="44"/>
          <w:szCs w:val="44"/>
          <w:highlight w:val="none"/>
        </w:rPr>
      </w:pPr>
      <w:r>
        <w:rPr>
          <w:rFonts w:eastAsia="黑体"/>
          <w:sz w:val="44"/>
          <w:szCs w:val="44"/>
          <w:highlight w:val="none"/>
        </w:rPr>
        <w:br w:type="page"/>
      </w:r>
    </w:p>
    <w:p w14:paraId="4E8C9A16">
      <w:pPr>
        <w:rPr>
          <w:rFonts w:eastAsia="黑体"/>
          <w:sz w:val="44"/>
          <w:szCs w:val="44"/>
          <w:highlight w:val="none"/>
        </w:rPr>
        <w:sectPr>
          <w:pgSz w:w="11906" w:h="16838"/>
          <w:pgMar w:top="1157" w:right="1179" w:bottom="1157" w:left="1179" w:header="851" w:footer="992" w:gutter="0"/>
          <w:cols w:space="425" w:num="1"/>
          <w:docGrid w:type="lines" w:linePitch="312" w:charSpace="0"/>
        </w:sectPr>
      </w:pPr>
    </w:p>
    <w:p w14:paraId="69D966FA">
      <w:pPr>
        <w:pStyle w:val="3"/>
        <w:adjustRightInd w:val="0"/>
        <w:snapToGrid w:val="0"/>
        <w:spacing w:line="400" w:lineRule="exact"/>
        <w:jc w:val="center"/>
        <w:rPr>
          <w:rFonts w:ascii="仿宋_GB2312" w:hAnsi="仿宋_GB2312" w:eastAsia="仿宋_GB2312" w:cs="仿宋_GB2312"/>
          <w:sz w:val="30"/>
          <w:szCs w:val="30"/>
          <w:highlight w:val="none"/>
        </w:rPr>
      </w:pPr>
      <w:bookmarkStart w:id="2" w:name="_Toc22209"/>
      <w:r>
        <w:rPr>
          <w:rFonts w:hint="eastAsia" w:ascii="仿宋_GB2312" w:hAnsi="仿宋_GB2312" w:eastAsia="仿宋_GB2312" w:cs="仿宋_GB2312"/>
          <w:sz w:val="30"/>
          <w:szCs w:val="30"/>
          <w:highlight w:val="none"/>
        </w:rPr>
        <w:t>第一节 政府采购合同协议书</w:t>
      </w:r>
      <w:bookmarkEnd w:id="2"/>
    </w:p>
    <w:p w14:paraId="60C1A36E">
      <w:pPr>
        <w:rPr>
          <w:rFonts w:ascii="仿宋_GB2312" w:hAnsi="仿宋_GB2312" w:eastAsia="仿宋_GB2312" w:cs="仿宋_GB2312"/>
          <w:sz w:val="24"/>
          <w:highlight w:val="none"/>
        </w:rPr>
      </w:pPr>
    </w:p>
    <w:p w14:paraId="2067F184">
      <w:pPr>
        <w:adjustRightInd w:val="0"/>
        <w:snapToGrid w:val="0"/>
        <w:spacing w:line="360" w:lineRule="exact"/>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甲方（全称）：</w:t>
      </w:r>
      <w:r>
        <w:rPr>
          <w:rFonts w:hint="eastAsia" w:ascii="仿宋_GB2312" w:hAnsi="仿宋_GB2312" w:eastAsia="仿宋_GB2312" w:cs="仿宋_GB2312"/>
          <w:sz w:val="24"/>
          <w:highlight w:val="none"/>
          <w:u w:val="single"/>
        </w:rPr>
        <w:t xml:space="preserve"> 西北妇女儿童医院 </w:t>
      </w:r>
    </w:p>
    <w:p w14:paraId="4A29A58B">
      <w:pPr>
        <w:adjustRightInd w:val="0"/>
        <w:snapToGrid w:val="0"/>
        <w:spacing w:line="360" w:lineRule="exact"/>
        <w:jc w:val="left"/>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乙方（全称）：</w:t>
      </w:r>
      <w:r>
        <w:rPr>
          <w:rFonts w:hint="eastAsia" w:ascii="仿宋_GB2312" w:hAnsi="仿宋_GB2312" w:eastAsia="仿宋_GB2312" w:cs="仿宋_GB2312"/>
          <w:sz w:val="24"/>
          <w:highlight w:val="none"/>
          <w:u w:val="single"/>
        </w:rPr>
        <w:t xml:space="preserve">                  </w:t>
      </w:r>
    </w:p>
    <w:p w14:paraId="5ABE27F9">
      <w:pPr>
        <w:pStyle w:val="8"/>
        <w:adjustRightInd w:val="0"/>
        <w:snapToGrid w:val="0"/>
        <w:spacing w:after="0" w:line="360" w:lineRule="exact"/>
        <w:ind w:left="0" w:leftChars="0" w:firstLine="480" w:firstLineChars="200"/>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依据《中华人民共和国民法典</w:t>
      </w:r>
      <w:r>
        <w:rPr>
          <w:rFonts w:hint="eastAsia" w:ascii="仿宋_GB2312" w:hAnsi="仿宋_GB2312" w:eastAsia="仿宋_GB2312" w:cs="仿宋_GB2312"/>
          <w:sz w:val="24"/>
          <w:highlight w:val="none"/>
          <w:lang w:eastAsia="zh-CN"/>
        </w:rPr>
        <w:t>》《</w:t>
      </w:r>
      <w:r>
        <w:rPr>
          <w:rFonts w:hint="eastAsia" w:ascii="仿宋_GB2312" w:hAnsi="仿宋_GB2312" w:eastAsia="仿宋_GB2312" w:cs="仿宋_GB2312"/>
          <w:sz w:val="24"/>
          <w:highlight w:val="none"/>
        </w:rPr>
        <w:t xml:space="preserve">中华人民共和国政府采购法》等有关的法律法规，以及本采购项目的招标文件等采购文件、乙方的《投标文件》及《中标通知书》，甲乙双方同意签订本合同。具体情况及要求如下：     </w:t>
      </w:r>
    </w:p>
    <w:p w14:paraId="3E900037">
      <w:pPr>
        <w:numPr>
          <w:ilvl w:val="0"/>
          <w:numId w:val="0"/>
        </w:numPr>
        <w:adjustRightInd w:val="0"/>
        <w:snapToGrid w:val="0"/>
        <w:spacing w:line="360" w:lineRule="exact"/>
        <w:ind w:firstLine="482" w:firstLineChars="200"/>
        <w:rPr>
          <w:rFonts w:ascii="仿宋_GB2312" w:hAnsi="仿宋_GB2312" w:eastAsia="仿宋_GB2312" w:cs="仿宋_GB2312"/>
          <w:b/>
          <w:sz w:val="24"/>
          <w:highlight w:val="none"/>
        </w:rPr>
      </w:pPr>
      <w:r>
        <w:rPr>
          <w:rFonts w:ascii="仿宋_GB2312" w:hAnsi="仿宋_GB2312" w:eastAsia="仿宋_GB2312" w:cs="仿宋_GB2312"/>
          <w:b/>
          <w:kern w:val="2"/>
          <w:sz w:val="24"/>
          <w:highlight w:val="none"/>
          <w:lang w:val="en-US" w:eastAsia="zh-CN" w:bidi="ar-SA"/>
        </w:rPr>
        <w:t>1.</w:t>
      </w:r>
      <w:r>
        <w:rPr>
          <w:rFonts w:hint="eastAsia" w:ascii="仿宋_GB2312" w:hAnsi="仿宋_GB2312" w:eastAsia="仿宋_GB2312" w:cs="仿宋_GB2312"/>
          <w:b/>
          <w:sz w:val="24"/>
          <w:highlight w:val="none"/>
        </w:rPr>
        <w:t>项目信息</w:t>
      </w:r>
    </w:p>
    <w:p w14:paraId="26FC21D5">
      <w:pPr>
        <w:pStyle w:val="8"/>
        <w:numPr>
          <w:ilvl w:val="0"/>
          <w:numId w:val="1"/>
        </w:numPr>
        <w:adjustRightInd w:val="0"/>
        <w:snapToGrid w:val="0"/>
        <w:spacing w:after="0" w:line="360" w:lineRule="exact"/>
        <w:ind w:left="0" w:leftChars="0" w:firstLine="480" w:firstLineChars="200"/>
        <w:rPr>
          <w:rFonts w:ascii="仿宋_GB2312" w:hAnsi="仿宋_GB2312" w:eastAsia="仿宋_GB2312" w:cs="仿宋_GB2312"/>
          <w:sz w:val="24"/>
          <w:highlight w:val="none"/>
          <w:u w:val="single"/>
        </w:rPr>
      </w:pPr>
      <w:r>
        <w:rPr>
          <w:rFonts w:hint="eastAsia" w:ascii="仿宋_GB2312" w:hAnsi="仿宋_GB2312" w:eastAsia="仿宋_GB2312" w:cs="仿宋_GB2312"/>
          <w:sz w:val="24"/>
          <w:highlight w:val="none"/>
        </w:rPr>
        <w:t>采购项目名称：</w:t>
      </w:r>
      <w:r>
        <w:rPr>
          <w:rFonts w:hint="eastAsia" w:ascii="仿宋_GB2312" w:hAnsi="仿宋_GB2312" w:eastAsia="仿宋_GB2312" w:cs="仿宋_GB2312"/>
          <w:sz w:val="24"/>
          <w:highlight w:val="none"/>
          <w:u w:val="single"/>
          <w:lang w:eastAsia="zh-CN"/>
        </w:rPr>
        <w:t>一次性使用灭菌橡胶外科手套等耗材采购项目</w:t>
      </w:r>
      <w:r>
        <w:rPr>
          <w:rFonts w:hint="eastAsia" w:ascii="仿宋_GB2312" w:hAnsi="仿宋_GB2312" w:eastAsia="仿宋_GB2312" w:cs="仿宋_GB2312"/>
          <w:sz w:val="24"/>
          <w:highlight w:val="none"/>
          <w:u w:val="single"/>
        </w:rPr>
        <w:t xml:space="preserve">                </w:t>
      </w:r>
      <w:r>
        <w:rPr>
          <w:rFonts w:hint="eastAsia" w:ascii="仿宋_GB2312" w:hAnsi="仿宋_GB2312" w:eastAsia="仿宋_GB2312" w:cs="仿宋_GB2312"/>
          <w:sz w:val="24"/>
          <w:highlight w:val="none"/>
          <w:u w:val="single"/>
          <w:lang w:val="en-US" w:eastAsia="zh-CN"/>
        </w:rPr>
        <w:t xml:space="preserve">       </w:t>
      </w:r>
      <w:r>
        <w:rPr>
          <w:rFonts w:hint="eastAsia" w:ascii="仿宋_GB2312" w:hAnsi="仿宋_GB2312" w:eastAsia="仿宋_GB2312" w:cs="仿宋_GB2312"/>
          <w:sz w:val="24"/>
          <w:highlight w:val="none"/>
          <w:u w:val="single"/>
        </w:rPr>
        <w:t xml:space="preserve">  </w:t>
      </w:r>
    </w:p>
    <w:p w14:paraId="6014A3D9">
      <w:pPr>
        <w:widowControl/>
        <w:spacing w:line="360" w:lineRule="exact"/>
        <w:jc w:val="left"/>
        <w:rPr>
          <w:rFonts w:ascii="仿宋_GB2312" w:hAnsi="仿宋_GB2312" w:eastAsia="仿宋_GB2312" w:cs="仿宋_GB2312"/>
          <w:sz w:val="24"/>
          <w:highlight w:val="none"/>
          <w:u w:val="single"/>
        </w:rPr>
      </w:pPr>
      <w:r>
        <w:rPr>
          <w:rFonts w:hint="eastAsia" w:ascii="仿宋_GB2312" w:hAnsi="仿宋_GB2312" w:eastAsia="仿宋_GB2312" w:cs="仿宋_GB2312"/>
          <w:sz w:val="24"/>
          <w:highlight w:val="none"/>
        </w:rPr>
        <w:t xml:space="preserve">         采购项目编号：</w:t>
      </w:r>
      <w:r>
        <w:rPr>
          <w:rFonts w:hint="eastAsia" w:ascii="仿宋_GB2312" w:hAnsi="仿宋_GB2312" w:eastAsia="仿宋_GB2312" w:cs="仿宋_GB2312"/>
          <w:sz w:val="24"/>
          <w:highlight w:val="none"/>
          <w:u w:val="single"/>
        </w:rPr>
        <w:t>ZCXM-省本级-2026-07746</w:t>
      </w:r>
      <w:r>
        <w:rPr>
          <w:rFonts w:hint="eastAsia" w:ascii="仿宋_GB2312" w:hAnsi="仿宋_GB2312" w:eastAsia="仿宋_GB2312" w:cs="仿宋_GB2312"/>
          <w:sz w:val="24"/>
          <w:highlight w:val="none"/>
          <w:u w:val="single"/>
          <w:lang w:val="en-US" w:eastAsia="zh-CN"/>
        </w:rPr>
        <w:t>(SXHC2026-085)</w:t>
      </w:r>
      <w:r>
        <w:rPr>
          <w:rFonts w:hint="eastAsia" w:ascii="仿宋_GB2312" w:hAnsi="仿宋_GB2312" w:eastAsia="仿宋_GB2312" w:cs="仿宋_GB2312"/>
          <w:sz w:val="24"/>
          <w:highlight w:val="none"/>
          <w:u w:val="single"/>
        </w:rPr>
        <w:t xml:space="preserve">                                     </w:t>
      </w:r>
      <w:r>
        <w:rPr>
          <w:rFonts w:hint="eastAsia" w:ascii="仿宋_GB2312" w:hAnsi="仿宋_GB2312" w:eastAsia="仿宋_GB2312" w:cs="仿宋_GB2312"/>
          <w:sz w:val="24"/>
          <w:highlight w:val="none"/>
          <w:u w:val="single"/>
          <w:lang w:val="en-US" w:eastAsia="zh-CN"/>
        </w:rPr>
        <w:t xml:space="preserve">               </w:t>
      </w:r>
      <w:r>
        <w:rPr>
          <w:rFonts w:hint="eastAsia" w:ascii="仿宋_GB2312" w:hAnsi="仿宋_GB2312" w:eastAsia="仿宋_GB2312" w:cs="仿宋_GB2312"/>
          <w:sz w:val="24"/>
          <w:highlight w:val="none"/>
          <w:u w:val="single"/>
        </w:rPr>
        <w:t xml:space="preserve"> </w:t>
      </w:r>
    </w:p>
    <w:p w14:paraId="3B36EB63">
      <w:pPr>
        <w:pStyle w:val="8"/>
        <w:adjustRightInd w:val="0"/>
        <w:snapToGrid w:val="0"/>
        <w:spacing w:after="0" w:line="360" w:lineRule="exact"/>
        <w:ind w:left="0" w:leftChars="0" w:firstLine="480" w:firstLineChars="200"/>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（2）采购计划编号：</w:t>
      </w:r>
      <w:r>
        <w:rPr>
          <w:rFonts w:hint="eastAsia" w:ascii="仿宋_GB2312" w:hAnsi="仿宋_GB2312" w:eastAsia="仿宋_GB2312" w:cs="仿宋_GB2312"/>
          <w:sz w:val="24"/>
          <w:highlight w:val="none"/>
          <w:u w:val="single"/>
        </w:rPr>
        <w:t xml:space="preserve">ZCBN-省本级-2026-04805                                      </w:t>
      </w:r>
      <w:r>
        <w:rPr>
          <w:rFonts w:hint="eastAsia" w:ascii="仿宋_GB2312" w:hAnsi="仿宋_GB2312" w:eastAsia="仿宋_GB2312" w:cs="仿宋_GB2312"/>
          <w:sz w:val="24"/>
          <w:highlight w:val="none"/>
          <w:u w:val="single"/>
          <w:lang w:val="en-US" w:eastAsia="zh-CN"/>
        </w:rPr>
        <w:t xml:space="preserve">               </w:t>
      </w:r>
      <w:r>
        <w:rPr>
          <w:rFonts w:hint="eastAsia" w:ascii="仿宋_GB2312" w:hAnsi="仿宋_GB2312" w:eastAsia="仿宋_GB2312" w:cs="仿宋_GB2312"/>
          <w:sz w:val="24"/>
          <w:highlight w:val="none"/>
          <w:u w:val="single"/>
        </w:rPr>
        <w:t xml:space="preserve"> </w:t>
      </w:r>
      <w:r>
        <w:rPr>
          <w:rFonts w:hint="eastAsia" w:ascii="仿宋_GB2312" w:hAnsi="仿宋_GB2312" w:eastAsia="仿宋_GB2312" w:cs="仿宋_GB2312"/>
          <w:sz w:val="24"/>
          <w:highlight w:val="none"/>
          <w:u w:val="single"/>
          <w:lang w:val="en-US" w:eastAsia="zh-CN"/>
        </w:rPr>
        <w:t xml:space="preserve"> </w:t>
      </w:r>
      <w:r>
        <w:rPr>
          <w:rFonts w:hint="eastAsia" w:ascii="仿宋_GB2312" w:hAnsi="仿宋_GB2312" w:eastAsia="仿宋_GB2312" w:cs="仿宋_GB2312"/>
          <w:sz w:val="24"/>
          <w:highlight w:val="none"/>
          <w:u w:val="single"/>
        </w:rPr>
        <w:t xml:space="preserve"> </w:t>
      </w:r>
      <w:r>
        <w:rPr>
          <w:rFonts w:hint="eastAsia" w:ascii="仿宋_GB2312" w:hAnsi="仿宋_GB2312" w:eastAsia="仿宋_GB2312" w:cs="仿宋_GB2312"/>
          <w:sz w:val="24"/>
          <w:highlight w:val="none"/>
        </w:rPr>
        <w:t xml:space="preserve"> </w:t>
      </w:r>
    </w:p>
    <w:p w14:paraId="03608E59">
      <w:pPr>
        <w:adjustRightInd w:val="0"/>
        <w:snapToGrid w:val="0"/>
        <w:spacing w:line="360" w:lineRule="exact"/>
        <w:ind w:firstLine="480" w:firstLineChars="200"/>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 xml:space="preserve">（3）项目内容：  </w:t>
      </w:r>
    </w:p>
    <w:tbl>
      <w:tblPr>
        <w:tblStyle w:val="13"/>
        <w:tblW w:w="89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3"/>
        <w:gridCol w:w="1293"/>
        <w:gridCol w:w="766"/>
        <w:gridCol w:w="1149"/>
        <w:gridCol w:w="1478"/>
        <w:gridCol w:w="982"/>
        <w:gridCol w:w="1132"/>
        <w:gridCol w:w="1527"/>
      </w:tblGrid>
      <w:tr w14:paraId="2513D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613" w:type="dxa"/>
            <w:vAlign w:val="center"/>
          </w:tcPr>
          <w:p w14:paraId="397F7918">
            <w:pPr>
              <w:adjustRightInd w:val="0"/>
              <w:snapToGrid w:val="0"/>
              <w:spacing w:line="360" w:lineRule="exact"/>
              <w:jc w:val="center"/>
              <w:rPr>
                <w:rFonts w:ascii="仿宋_GB2312" w:hAnsi="仿宋_GB2312" w:eastAsia="仿宋_GB2312" w:cs="仿宋_GB2312"/>
                <w:b/>
                <w:bCs/>
                <w:sz w:val="24"/>
                <w:highlight w:val="none"/>
              </w:rPr>
            </w:pPr>
            <w:r>
              <w:rPr>
                <w:rFonts w:hint="eastAsia" w:ascii="仿宋_GB2312" w:hAnsi="仿宋_GB2312" w:eastAsia="仿宋_GB2312" w:cs="仿宋_GB2312"/>
                <w:b/>
                <w:bCs/>
                <w:sz w:val="24"/>
                <w:highlight w:val="none"/>
              </w:rPr>
              <w:t>序号</w:t>
            </w:r>
          </w:p>
        </w:tc>
        <w:tc>
          <w:tcPr>
            <w:tcW w:w="1293" w:type="dxa"/>
            <w:vAlign w:val="center"/>
          </w:tcPr>
          <w:p w14:paraId="52602246">
            <w:pPr>
              <w:adjustRightInd w:val="0"/>
              <w:snapToGrid w:val="0"/>
              <w:spacing w:line="360" w:lineRule="exact"/>
              <w:jc w:val="center"/>
              <w:rPr>
                <w:rFonts w:ascii="仿宋_GB2312" w:hAnsi="仿宋_GB2312" w:eastAsia="仿宋_GB2312" w:cs="仿宋_GB2312"/>
                <w:b/>
                <w:bCs/>
                <w:sz w:val="24"/>
                <w:highlight w:val="none"/>
              </w:rPr>
            </w:pPr>
            <w:r>
              <w:rPr>
                <w:rFonts w:hint="eastAsia" w:ascii="仿宋_GB2312" w:hAnsi="仿宋_GB2312" w:eastAsia="仿宋_GB2312" w:cs="仿宋_GB2312"/>
                <w:b/>
                <w:bCs/>
                <w:sz w:val="24"/>
                <w:highlight w:val="none"/>
              </w:rPr>
              <w:t>名称</w:t>
            </w:r>
          </w:p>
        </w:tc>
        <w:tc>
          <w:tcPr>
            <w:tcW w:w="766" w:type="dxa"/>
            <w:vAlign w:val="center"/>
          </w:tcPr>
          <w:p w14:paraId="1FC44318">
            <w:pPr>
              <w:adjustRightInd w:val="0"/>
              <w:snapToGrid w:val="0"/>
              <w:spacing w:line="360" w:lineRule="exact"/>
              <w:jc w:val="center"/>
              <w:rPr>
                <w:rFonts w:ascii="仿宋_GB2312" w:hAnsi="仿宋_GB2312" w:eastAsia="仿宋_GB2312" w:cs="仿宋_GB2312"/>
                <w:b/>
                <w:bCs/>
                <w:sz w:val="24"/>
                <w:highlight w:val="none"/>
              </w:rPr>
            </w:pPr>
            <w:r>
              <w:rPr>
                <w:rFonts w:hint="eastAsia" w:ascii="仿宋_GB2312" w:hAnsi="仿宋_GB2312" w:eastAsia="仿宋_GB2312" w:cs="仿宋_GB2312"/>
                <w:b/>
                <w:bCs/>
                <w:sz w:val="24"/>
                <w:highlight w:val="none"/>
              </w:rPr>
              <w:t>品牌</w:t>
            </w:r>
          </w:p>
        </w:tc>
        <w:tc>
          <w:tcPr>
            <w:tcW w:w="1149" w:type="dxa"/>
            <w:vAlign w:val="center"/>
          </w:tcPr>
          <w:p w14:paraId="3D6C9860">
            <w:pPr>
              <w:adjustRightInd w:val="0"/>
              <w:snapToGrid w:val="0"/>
              <w:spacing w:line="360" w:lineRule="exact"/>
              <w:jc w:val="center"/>
              <w:rPr>
                <w:rFonts w:ascii="仿宋_GB2312" w:hAnsi="仿宋_GB2312" w:eastAsia="仿宋_GB2312" w:cs="仿宋_GB2312"/>
                <w:b/>
                <w:bCs/>
                <w:sz w:val="24"/>
                <w:highlight w:val="none"/>
              </w:rPr>
            </w:pPr>
            <w:r>
              <w:rPr>
                <w:rFonts w:hint="eastAsia" w:ascii="仿宋_GB2312" w:hAnsi="仿宋_GB2312" w:eastAsia="仿宋_GB2312" w:cs="仿宋_GB2312"/>
                <w:b/>
                <w:bCs/>
                <w:sz w:val="24"/>
                <w:highlight w:val="none"/>
              </w:rPr>
              <w:t>产地</w:t>
            </w:r>
          </w:p>
        </w:tc>
        <w:tc>
          <w:tcPr>
            <w:tcW w:w="1478" w:type="dxa"/>
            <w:vAlign w:val="center"/>
          </w:tcPr>
          <w:p w14:paraId="1D73BFB0">
            <w:pPr>
              <w:adjustRightInd w:val="0"/>
              <w:snapToGrid w:val="0"/>
              <w:spacing w:line="360" w:lineRule="exact"/>
              <w:jc w:val="center"/>
              <w:rPr>
                <w:rFonts w:ascii="仿宋_GB2312" w:hAnsi="仿宋_GB2312" w:eastAsia="仿宋_GB2312" w:cs="仿宋_GB2312"/>
                <w:b/>
                <w:bCs/>
                <w:sz w:val="24"/>
                <w:highlight w:val="none"/>
              </w:rPr>
            </w:pPr>
            <w:r>
              <w:rPr>
                <w:rFonts w:hint="eastAsia" w:ascii="仿宋_GB2312" w:hAnsi="仿宋_GB2312" w:eastAsia="仿宋_GB2312" w:cs="仿宋_GB2312"/>
                <w:b/>
                <w:bCs/>
                <w:sz w:val="24"/>
                <w:highlight w:val="none"/>
              </w:rPr>
              <w:t>制造商名称</w:t>
            </w:r>
          </w:p>
        </w:tc>
        <w:tc>
          <w:tcPr>
            <w:tcW w:w="982" w:type="dxa"/>
            <w:vAlign w:val="center"/>
          </w:tcPr>
          <w:p w14:paraId="4D7245D0">
            <w:pPr>
              <w:adjustRightInd w:val="0"/>
              <w:snapToGrid w:val="0"/>
              <w:spacing w:line="360" w:lineRule="exact"/>
              <w:jc w:val="center"/>
              <w:rPr>
                <w:rFonts w:hint="eastAsia" w:ascii="仿宋_GB2312" w:hAnsi="仿宋_GB2312" w:eastAsia="仿宋_GB2312" w:cs="仿宋_GB2312"/>
                <w:b/>
                <w:bCs/>
                <w:sz w:val="24"/>
                <w:highlight w:val="none"/>
              </w:rPr>
            </w:pPr>
            <w:r>
              <w:rPr>
                <w:rFonts w:hint="eastAsia" w:ascii="仿宋_GB2312" w:hAnsi="仿宋_GB2312" w:eastAsia="仿宋_GB2312" w:cs="仿宋_GB2312"/>
                <w:b/>
                <w:bCs/>
                <w:sz w:val="24"/>
                <w:highlight w:val="none"/>
              </w:rPr>
              <w:t>规格</w:t>
            </w:r>
          </w:p>
          <w:p w14:paraId="7F335D95">
            <w:pPr>
              <w:adjustRightInd w:val="0"/>
              <w:snapToGrid w:val="0"/>
              <w:spacing w:line="360" w:lineRule="exact"/>
              <w:jc w:val="center"/>
              <w:rPr>
                <w:rFonts w:ascii="仿宋_GB2312" w:hAnsi="仿宋_GB2312" w:eastAsia="仿宋_GB2312" w:cs="仿宋_GB2312"/>
                <w:b/>
                <w:bCs/>
                <w:sz w:val="24"/>
                <w:highlight w:val="none"/>
              </w:rPr>
            </w:pPr>
            <w:r>
              <w:rPr>
                <w:rFonts w:hint="eastAsia" w:ascii="仿宋_GB2312" w:hAnsi="仿宋_GB2312" w:eastAsia="仿宋_GB2312" w:cs="仿宋_GB2312"/>
                <w:b/>
                <w:bCs/>
                <w:sz w:val="24"/>
                <w:highlight w:val="none"/>
              </w:rPr>
              <w:t>型号</w:t>
            </w:r>
          </w:p>
        </w:tc>
        <w:tc>
          <w:tcPr>
            <w:tcW w:w="1132" w:type="dxa"/>
            <w:vAlign w:val="center"/>
          </w:tcPr>
          <w:p w14:paraId="3D9B6EA2">
            <w:pPr>
              <w:adjustRightInd w:val="0"/>
              <w:snapToGrid w:val="0"/>
              <w:spacing w:line="360" w:lineRule="exact"/>
              <w:jc w:val="center"/>
              <w:rPr>
                <w:rFonts w:hint="eastAsia" w:ascii="仿宋_GB2312" w:hAnsi="仿宋_GB2312" w:eastAsia="仿宋_GB2312" w:cs="仿宋_GB2312"/>
                <w:b/>
                <w:bCs/>
                <w:sz w:val="24"/>
                <w:highlight w:val="none"/>
                <w:lang w:val="en-US" w:eastAsia="zh-CN"/>
              </w:rPr>
            </w:pPr>
            <w:r>
              <w:rPr>
                <w:rFonts w:hint="eastAsia" w:ascii="仿宋_GB2312" w:hAnsi="仿宋_GB2312" w:eastAsia="仿宋_GB2312" w:cs="仿宋_GB2312"/>
                <w:b/>
                <w:bCs/>
                <w:sz w:val="24"/>
                <w:highlight w:val="none"/>
                <w:lang w:val="en-US" w:eastAsia="zh-CN"/>
              </w:rPr>
              <w:t>单位</w:t>
            </w:r>
          </w:p>
        </w:tc>
        <w:tc>
          <w:tcPr>
            <w:tcW w:w="1527" w:type="dxa"/>
            <w:vAlign w:val="center"/>
          </w:tcPr>
          <w:p w14:paraId="1B0C22B8">
            <w:pPr>
              <w:adjustRightInd w:val="0"/>
              <w:snapToGrid w:val="0"/>
              <w:spacing w:line="360" w:lineRule="exact"/>
              <w:jc w:val="center"/>
              <w:rPr>
                <w:rFonts w:hint="eastAsia" w:ascii="仿宋_GB2312" w:hAnsi="仿宋_GB2312" w:eastAsia="仿宋_GB2312" w:cs="仿宋_GB2312"/>
                <w:b/>
                <w:bCs/>
                <w:sz w:val="24"/>
                <w:highlight w:val="none"/>
              </w:rPr>
            </w:pPr>
            <w:r>
              <w:rPr>
                <w:rFonts w:hint="eastAsia" w:ascii="仿宋_GB2312" w:hAnsi="仿宋_GB2312" w:eastAsia="仿宋_GB2312" w:cs="仿宋_GB2312"/>
                <w:b/>
                <w:bCs/>
                <w:sz w:val="24"/>
                <w:highlight w:val="none"/>
              </w:rPr>
              <w:t>单价</w:t>
            </w:r>
          </w:p>
          <w:p w14:paraId="6043B516">
            <w:pPr>
              <w:adjustRightInd w:val="0"/>
              <w:snapToGrid w:val="0"/>
              <w:spacing w:line="360" w:lineRule="exact"/>
              <w:jc w:val="center"/>
              <w:rPr>
                <w:rFonts w:ascii="仿宋_GB2312" w:hAnsi="仿宋_GB2312" w:eastAsia="仿宋_GB2312" w:cs="仿宋_GB2312"/>
                <w:b/>
                <w:bCs/>
                <w:sz w:val="24"/>
                <w:highlight w:val="none"/>
              </w:rPr>
            </w:pPr>
            <w:r>
              <w:rPr>
                <w:rFonts w:hint="eastAsia" w:ascii="仿宋_GB2312" w:hAnsi="仿宋_GB2312" w:eastAsia="仿宋_GB2312" w:cs="仿宋_GB2312"/>
                <w:b/>
                <w:bCs/>
                <w:sz w:val="24"/>
                <w:highlight w:val="none"/>
              </w:rPr>
              <w:t>（元）</w:t>
            </w:r>
          </w:p>
        </w:tc>
      </w:tr>
      <w:tr w14:paraId="0067B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3" w:type="dxa"/>
          </w:tcPr>
          <w:p w14:paraId="774123E8">
            <w:pPr>
              <w:adjustRightInd w:val="0"/>
              <w:snapToGrid w:val="0"/>
              <w:spacing w:line="360" w:lineRule="exact"/>
              <w:jc w:val="center"/>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1</w:t>
            </w:r>
          </w:p>
        </w:tc>
        <w:tc>
          <w:tcPr>
            <w:tcW w:w="1293" w:type="dxa"/>
          </w:tcPr>
          <w:p w14:paraId="234E963C">
            <w:pPr>
              <w:adjustRightInd w:val="0"/>
              <w:snapToGrid w:val="0"/>
              <w:spacing w:line="360" w:lineRule="exact"/>
              <w:rPr>
                <w:rFonts w:ascii="仿宋_GB2312" w:hAnsi="仿宋_GB2312" w:eastAsia="仿宋_GB2312" w:cs="仿宋_GB2312"/>
                <w:sz w:val="24"/>
                <w:highlight w:val="none"/>
              </w:rPr>
            </w:pPr>
          </w:p>
        </w:tc>
        <w:tc>
          <w:tcPr>
            <w:tcW w:w="766" w:type="dxa"/>
          </w:tcPr>
          <w:p w14:paraId="213EBEA4">
            <w:pPr>
              <w:adjustRightInd w:val="0"/>
              <w:snapToGrid w:val="0"/>
              <w:spacing w:line="360" w:lineRule="exact"/>
              <w:rPr>
                <w:rFonts w:ascii="仿宋_GB2312" w:hAnsi="仿宋_GB2312" w:eastAsia="仿宋_GB2312" w:cs="仿宋_GB2312"/>
                <w:sz w:val="24"/>
                <w:highlight w:val="none"/>
              </w:rPr>
            </w:pPr>
          </w:p>
        </w:tc>
        <w:tc>
          <w:tcPr>
            <w:tcW w:w="1149" w:type="dxa"/>
          </w:tcPr>
          <w:p w14:paraId="4DBC658D">
            <w:pPr>
              <w:adjustRightInd w:val="0"/>
              <w:snapToGrid w:val="0"/>
              <w:spacing w:line="360" w:lineRule="exact"/>
              <w:ind w:firstLine="480" w:firstLineChars="200"/>
              <w:rPr>
                <w:rFonts w:ascii="仿宋_GB2312" w:hAnsi="仿宋_GB2312" w:eastAsia="仿宋_GB2312" w:cs="仿宋_GB2312"/>
                <w:sz w:val="24"/>
                <w:highlight w:val="none"/>
              </w:rPr>
            </w:pPr>
          </w:p>
        </w:tc>
        <w:tc>
          <w:tcPr>
            <w:tcW w:w="1478" w:type="dxa"/>
          </w:tcPr>
          <w:p w14:paraId="0EE80C33">
            <w:pPr>
              <w:adjustRightInd w:val="0"/>
              <w:snapToGrid w:val="0"/>
              <w:spacing w:line="360" w:lineRule="exact"/>
              <w:ind w:firstLine="480" w:firstLineChars="200"/>
              <w:rPr>
                <w:rFonts w:ascii="仿宋_GB2312" w:hAnsi="仿宋_GB2312" w:eastAsia="仿宋_GB2312" w:cs="仿宋_GB2312"/>
                <w:sz w:val="24"/>
                <w:highlight w:val="none"/>
              </w:rPr>
            </w:pPr>
          </w:p>
        </w:tc>
        <w:tc>
          <w:tcPr>
            <w:tcW w:w="982" w:type="dxa"/>
          </w:tcPr>
          <w:p w14:paraId="0F9D3A55">
            <w:pPr>
              <w:adjustRightInd w:val="0"/>
              <w:snapToGrid w:val="0"/>
              <w:spacing w:line="360" w:lineRule="exact"/>
              <w:ind w:firstLine="480" w:firstLineChars="200"/>
              <w:rPr>
                <w:rFonts w:ascii="仿宋_GB2312" w:hAnsi="仿宋_GB2312" w:eastAsia="仿宋_GB2312" w:cs="仿宋_GB2312"/>
                <w:sz w:val="24"/>
                <w:highlight w:val="none"/>
              </w:rPr>
            </w:pPr>
          </w:p>
        </w:tc>
        <w:tc>
          <w:tcPr>
            <w:tcW w:w="1132" w:type="dxa"/>
          </w:tcPr>
          <w:p w14:paraId="5BC66CC9">
            <w:pPr>
              <w:adjustRightInd w:val="0"/>
              <w:snapToGrid w:val="0"/>
              <w:spacing w:line="360" w:lineRule="exact"/>
              <w:rPr>
                <w:rFonts w:hint="eastAsia" w:ascii="仿宋_GB2312" w:hAnsi="仿宋_GB2312" w:eastAsia="仿宋_GB2312" w:cs="仿宋_GB2312"/>
                <w:b/>
                <w:bCs/>
                <w:sz w:val="24"/>
                <w:highlight w:val="none"/>
              </w:rPr>
            </w:pPr>
          </w:p>
        </w:tc>
        <w:tc>
          <w:tcPr>
            <w:tcW w:w="1527" w:type="dxa"/>
          </w:tcPr>
          <w:p w14:paraId="62B3BA72">
            <w:pPr>
              <w:adjustRightInd w:val="0"/>
              <w:snapToGrid w:val="0"/>
              <w:spacing w:line="360" w:lineRule="exact"/>
              <w:ind w:firstLine="480" w:firstLineChars="200"/>
              <w:rPr>
                <w:rFonts w:ascii="仿宋_GB2312" w:hAnsi="仿宋_GB2312" w:eastAsia="仿宋_GB2312" w:cs="仿宋_GB2312"/>
                <w:sz w:val="24"/>
                <w:highlight w:val="none"/>
              </w:rPr>
            </w:pPr>
          </w:p>
        </w:tc>
      </w:tr>
      <w:tr w14:paraId="26FC20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613" w:type="dxa"/>
          </w:tcPr>
          <w:p w14:paraId="7B03A35A">
            <w:pPr>
              <w:adjustRightInd w:val="0"/>
              <w:snapToGrid w:val="0"/>
              <w:spacing w:line="360" w:lineRule="exact"/>
              <w:jc w:val="center"/>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2</w:t>
            </w:r>
          </w:p>
        </w:tc>
        <w:tc>
          <w:tcPr>
            <w:tcW w:w="1293" w:type="dxa"/>
          </w:tcPr>
          <w:p w14:paraId="79340F6B">
            <w:pPr>
              <w:adjustRightInd w:val="0"/>
              <w:snapToGrid w:val="0"/>
              <w:spacing w:line="360" w:lineRule="exact"/>
              <w:rPr>
                <w:rFonts w:ascii="仿宋_GB2312" w:hAnsi="仿宋_GB2312" w:eastAsia="仿宋_GB2312" w:cs="仿宋_GB2312"/>
                <w:sz w:val="24"/>
                <w:highlight w:val="none"/>
              </w:rPr>
            </w:pPr>
          </w:p>
        </w:tc>
        <w:tc>
          <w:tcPr>
            <w:tcW w:w="766" w:type="dxa"/>
          </w:tcPr>
          <w:p w14:paraId="3407F8F0">
            <w:pPr>
              <w:adjustRightInd w:val="0"/>
              <w:snapToGrid w:val="0"/>
              <w:spacing w:line="360" w:lineRule="exact"/>
              <w:rPr>
                <w:rFonts w:ascii="仿宋_GB2312" w:hAnsi="仿宋_GB2312" w:eastAsia="仿宋_GB2312" w:cs="仿宋_GB2312"/>
                <w:sz w:val="24"/>
                <w:highlight w:val="none"/>
              </w:rPr>
            </w:pPr>
          </w:p>
        </w:tc>
        <w:tc>
          <w:tcPr>
            <w:tcW w:w="1149" w:type="dxa"/>
          </w:tcPr>
          <w:p w14:paraId="24076FCB">
            <w:pPr>
              <w:adjustRightInd w:val="0"/>
              <w:snapToGrid w:val="0"/>
              <w:spacing w:line="360" w:lineRule="exact"/>
              <w:ind w:firstLine="480" w:firstLineChars="200"/>
              <w:rPr>
                <w:rFonts w:ascii="仿宋_GB2312" w:hAnsi="仿宋_GB2312" w:eastAsia="仿宋_GB2312" w:cs="仿宋_GB2312"/>
                <w:sz w:val="24"/>
                <w:highlight w:val="none"/>
              </w:rPr>
            </w:pPr>
          </w:p>
        </w:tc>
        <w:tc>
          <w:tcPr>
            <w:tcW w:w="1478" w:type="dxa"/>
          </w:tcPr>
          <w:p w14:paraId="3EE43E8C">
            <w:pPr>
              <w:adjustRightInd w:val="0"/>
              <w:snapToGrid w:val="0"/>
              <w:spacing w:line="360" w:lineRule="exact"/>
              <w:ind w:firstLine="480" w:firstLineChars="200"/>
              <w:rPr>
                <w:rFonts w:ascii="仿宋_GB2312" w:hAnsi="仿宋_GB2312" w:eastAsia="仿宋_GB2312" w:cs="仿宋_GB2312"/>
                <w:sz w:val="24"/>
                <w:highlight w:val="none"/>
              </w:rPr>
            </w:pPr>
          </w:p>
        </w:tc>
        <w:tc>
          <w:tcPr>
            <w:tcW w:w="982" w:type="dxa"/>
          </w:tcPr>
          <w:p w14:paraId="2AD106F0">
            <w:pPr>
              <w:adjustRightInd w:val="0"/>
              <w:snapToGrid w:val="0"/>
              <w:spacing w:line="360" w:lineRule="exact"/>
              <w:ind w:firstLine="480" w:firstLineChars="200"/>
              <w:rPr>
                <w:rFonts w:ascii="仿宋_GB2312" w:hAnsi="仿宋_GB2312" w:eastAsia="仿宋_GB2312" w:cs="仿宋_GB2312"/>
                <w:sz w:val="24"/>
                <w:highlight w:val="none"/>
              </w:rPr>
            </w:pPr>
          </w:p>
        </w:tc>
        <w:tc>
          <w:tcPr>
            <w:tcW w:w="1132" w:type="dxa"/>
          </w:tcPr>
          <w:p w14:paraId="53EFC50E">
            <w:pPr>
              <w:adjustRightInd w:val="0"/>
              <w:snapToGrid w:val="0"/>
              <w:spacing w:line="360" w:lineRule="exact"/>
              <w:rPr>
                <w:rFonts w:hint="eastAsia" w:ascii="仿宋_GB2312" w:hAnsi="仿宋_GB2312" w:eastAsia="仿宋_GB2312" w:cs="仿宋_GB2312"/>
                <w:b/>
                <w:bCs/>
                <w:sz w:val="24"/>
                <w:highlight w:val="none"/>
              </w:rPr>
            </w:pPr>
          </w:p>
        </w:tc>
        <w:tc>
          <w:tcPr>
            <w:tcW w:w="1527" w:type="dxa"/>
          </w:tcPr>
          <w:p w14:paraId="1E704B46">
            <w:pPr>
              <w:adjustRightInd w:val="0"/>
              <w:snapToGrid w:val="0"/>
              <w:spacing w:line="360" w:lineRule="exact"/>
              <w:ind w:firstLine="480" w:firstLineChars="200"/>
              <w:rPr>
                <w:rFonts w:ascii="仿宋_GB2312" w:hAnsi="仿宋_GB2312" w:eastAsia="仿宋_GB2312" w:cs="仿宋_GB2312"/>
                <w:sz w:val="24"/>
                <w:highlight w:val="none"/>
              </w:rPr>
            </w:pPr>
          </w:p>
        </w:tc>
      </w:tr>
      <w:tr w14:paraId="1BC1A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1906" w:type="dxa"/>
            <w:gridSpan w:val="2"/>
            <w:vAlign w:val="center"/>
          </w:tcPr>
          <w:p w14:paraId="137B2D13">
            <w:pPr>
              <w:adjustRightInd w:val="0"/>
              <w:snapToGrid w:val="0"/>
              <w:spacing w:line="360" w:lineRule="exact"/>
              <w:jc w:val="center"/>
              <w:rPr>
                <w:rFonts w:ascii="仿宋_GB2312" w:hAnsi="仿宋_GB2312" w:eastAsia="仿宋_GB2312" w:cs="仿宋_GB2312"/>
                <w:sz w:val="24"/>
                <w:highlight w:val="none"/>
              </w:rPr>
            </w:pPr>
            <w:r>
              <w:rPr>
                <w:rFonts w:hint="eastAsia" w:ascii="仿宋_GB2312" w:hAnsi="仿宋_GB2312" w:eastAsia="仿宋_GB2312" w:cs="仿宋_GB2312"/>
                <w:sz w:val="24"/>
                <w:highlight w:val="none"/>
                <w:lang w:val="en-US" w:eastAsia="zh-CN"/>
              </w:rPr>
              <w:t>单价</w:t>
            </w:r>
            <w:r>
              <w:rPr>
                <w:rFonts w:hint="eastAsia" w:ascii="仿宋_GB2312" w:hAnsi="仿宋_GB2312" w:eastAsia="仿宋_GB2312" w:cs="仿宋_GB2312"/>
                <w:sz w:val="24"/>
                <w:highlight w:val="none"/>
              </w:rPr>
              <w:t>合计（元）</w:t>
            </w:r>
          </w:p>
        </w:tc>
        <w:tc>
          <w:tcPr>
            <w:tcW w:w="7034" w:type="dxa"/>
            <w:gridSpan w:val="6"/>
            <w:vAlign w:val="center"/>
          </w:tcPr>
          <w:p w14:paraId="391F5770">
            <w:pPr>
              <w:adjustRightInd w:val="0"/>
              <w:snapToGrid w:val="0"/>
              <w:spacing w:line="360" w:lineRule="exact"/>
              <w:ind w:firstLine="480" w:firstLineChars="200"/>
              <w:jc w:val="center"/>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小写：¥，大写：人民币</w:t>
            </w:r>
          </w:p>
        </w:tc>
      </w:tr>
    </w:tbl>
    <w:p w14:paraId="2F60A9F3">
      <w:pPr>
        <w:pStyle w:val="21"/>
        <w:numPr>
          <w:ilvl w:val="255"/>
          <w:numId w:val="0"/>
        </w:numPr>
        <w:snapToGrid w:val="0"/>
        <w:spacing w:line="360" w:lineRule="exact"/>
        <w:ind w:firstLine="480" w:firstLineChars="200"/>
        <w:rPr>
          <w:rFonts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w:t>
      </w:r>
      <w:r>
        <w:rPr>
          <w:rFonts w:hint="eastAsia" w:ascii="仿宋_GB2312" w:hAnsi="仿宋_GB2312" w:eastAsia="仿宋_GB2312" w:cs="仿宋_GB2312"/>
          <w:sz w:val="24"/>
          <w:szCs w:val="24"/>
          <w:highlight w:val="none"/>
          <w:lang w:val="en"/>
        </w:rPr>
        <w:t>4</w:t>
      </w:r>
      <w:r>
        <w:rPr>
          <w:rFonts w:hint="eastAsia" w:ascii="仿宋_GB2312" w:hAnsi="仿宋_GB2312" w:eastAsia="仿宋_GB2312" w:cs="仿宋_GB2312"/>
          <w:sz w:val="24"/>
          <w:szCs w:val="24"/>
          <w:highlight w:val="none"/>
        </w:rPr>
        <w:t>）政府采购组织形式：</w:t>
      </w:r>
      <w:r>
        <w:rPr>
          <w:rFonts w:hint="eastAsia" w:ascii="仿宋_GB2312" w:hAnsi="仿宋_GB2312" w:eastAsia="仿宋_GB2312" w:cs="仿宋_GB2312"/>
          <w:sz w:val="24"/>
          <w:szCs w:val="24"/>
          <w:highlight w:val="none"/>
        </w:rPr>
        <w:sym w:font="Wingdings" w:char="00A8"/>
      </w:r>
      <w:r>
        <w:rPr>
          <w:rFonts w:hint="eastAsia" w:ascii="仿宋_GB2312" w:hAnsi="仿宋_GB2312" w:eastAsia="仿宋_GB2312" w:cs="仿宋_GB2312"/>
          <w:sz w:val="24"/>
          <w:szCs w:val="24"/>
          <w:highlight w:val="none"/>
        </w:rPr>
        <w:t xml:space="preserve">政府集中采购  </w:t>
      </w:r>
      <w:r>
        <w:rPr>
          <w:rFonts w:hint="eastAsia" w:ascii="仿宋_GB2312" w:hAnsi="仿宋_GB2312" w:eastAsia="仿宋_GB2312" w:cs="仿宋_GB2312"/>
          <w:sz w:val="24"/>
          <w:szCs w:val="24"/>
          <w:highlight w:val="none"/>
        </w:rPr>
        <w:sym w:font="Wingdings" w:char="00FE"/>
      </w:r>
      <w:r>
        <w:rPr>
          <w:rFonts w:hint="eastAsia" w:ascii="仿宋_GB2312" w:hAnsi="仿宋_GB2312" w:eastAsia="仿宋_GB2312" w:cs="仿宋_GB2312"/>
          <w:sz w:val="24"/>
          <w:szCs w:val="24"/>
          <w:highlight w:val="none"/>
        </w:rPr>
        <w:t xml:space="preserve">部门集中采购  </w:t>
      </w:r>
      <w:r>
        <w:rPr>
          <w:rFonts w:hint="eastAsia" w:ascii="仿宋_GB2312" w:hAnsi="仿宋_GB2312" w:eastAsia="仿宋_GB2312" w:cs="仿宋_GB2312"/>
          <w:sz w:val="24"/>
          <w:szCs w:val="24"/>
          <w:highlight w:val="none"/>
        </w:rPr>
        <w:sym w:font="Wingdings" w:char="00A8"/>
      </w:r>
      <w:r>
        <w:rPr>
          <w:rFonts w:hint="eastAsia" w:ascii="仿宋_GB2312" w:hAnsi="仿宋_GB2312" w:eastAsia="仿宋_GB2312" w:cs="仿宋_GB2312"/>
          <w:sz w:val="24"/>
          <w:szCs w:val="24"/>
          <w:highlight w:val="none"/>
        </w:rPr>
        <w:t>分散采购</w:t>
      </w:r>
    </w:p>
    <w:p w14:paraId="5AA9918C">
      <w:pPr>
        <w:pStyle w:val="21"/>
        <w:numPr>
          <w:ilvl w:val="255"/>
          <w:numId w:val="0"/>
        </w:numPr>
        <w:snapToGrid w:val="0"/>
        <w:spacing w:line="360" w:lineRule="exact"/>
        <w:ind w:firstLine="420"/>
        <w:rPr>
          <w:rFonts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w:t>
      </w:r>
      <w:r>
        <w:rPr>
          <w:rFonts w:hint="eastAsia" w:ascii="仿宋_GB2312" w:hAnsi="仿宋_GB2312" w:eastAsia="仿宋_GB2312" w:cs="仿宋_GB2312"/>
          <w:sz w:val="24"/>
          <w:szCs w:val="24"/>
          <w:highlight w:val="none"/>
          <w:lang w:val="en"/>
        </w:rPr>
        <w:t>5</w:t>
      </w:r>
      <w:r>
        <w:rPr>
          <w:rFonts w:hint="eastAsia" w:ascii="仿宋_GB2312" w:hAnsi="仿宋_GB2312" w:eastAsia="仿宋_GB2312" w:cs="仿宋_GB2312"/>
          <w:sz w:val="24"/>
          <w:szCs w:val="24"/>
          <w:highlight w:val="none"/>
        </w:rPr>
        <w:t>）政府采购方式：</w:t>
      </w:r>
      <w:r>
        <w:rPr>
          <w:rFonts w:hint="eastAsia" w:ascii="仿宋_GB2312" w:hAnsi="仿宋_GB2312" w:eastAsia="仿宋_GB2312" w:cs="仿宋_GB2312"/>
          <w:sz w:val="24"/>
          <w:szCs w:val="24"/>
          <w:highlight w:val="none"/>
        </w:rPr>
        <w:sym w:font="Wingdings" w:char="00FE"/>
      </w:r>
      <w:r>
        <w:rPr>
          <w:rFonts w:hint="eastAsia" w:ascii="仿宋_GB2312" w:hAnsi="仿宋_GB2312" w:eastAsia="仿宋_GB2312" w:cs="仿宋_GB2312"/>
          <w:sz w:val="24"/>
          <w:szCs w:val="24"/>
          <w:highlight w:val="none"/>
        </w:rPr>
        <w:t xml:space="preserve">公开招标 </w:t>
      </w:r>
      <w:r>
        <w:rPr>
          <w:rFonts w:hint="eastAsia" w:ascii="仿宋_GB2312" w:hAnsi="仿宋_GB2312" w:eastAsia="仿宋_GB2312" w:cs="仿宋_GB2312"/>
          <w:sz w:val="24"/>
          <w:szCs w:val="24"/>
          <w:highlight w:val="none"/>
        </w:rPr>
        <w:sym w:font="Wingdings" w:char="00A8"/>
      </w:r>
      <w:r>
        <w:rPr>
          <w:rFonts w:hint="eastAsia" w:ascii="仿宋_GB2312" w:hAnsi="仿宋_GB2312" w:eastAsia="仿宋_GB2312" w:cs="仿宋_GB2312"/>
          <w:sz w:val="24"/>
          <w:szCs w:val="24"/>
          <w:highlight w:val="none"/>
        </w:rPr>
        <w:t xml:space="preserve">邀请招标 </w:t>
      </w:r>
      <w:r>
        <w:rPr>
          <w:rFonts w:hint="eastAsia" w:ascii="仿宋_GB2312" w:hAnsi="仿宋_GB2312" w:eastAsia="仿宋_GB2312" w:cs="仿宋_GB2312"/>
          <w:sz w:val="24"/>
          <w:szCs w:val="24"/>
          <w:highlight w:val="none"/>
        </w:rPr>
        <w:sym w:font="Wingdings" w:char="00A8"/>
      </w:r>
      <w:r>
        <w:rPr>
          <w:rFonts w:hint="eastAsia" w:ascii="仿宋_GB2312" w:hAnsi="仿宋_GB2312" w:eastAsia="仿宋_GB2312" w:cs="仿宋_GB2312"/>
          <w:sz w:val="24"/>
          <w:szCs w:val="24"/>
          <w:highlight w:val="none"/>
        </w:rPr>
        <w:t xml:space="preserve">竞争性谈判 </w:t>
      </w:r>
      <w:r>
        <w:rPr>
          <w:rFonts w:hint="eastAsia" w:ascii="仿宋_GB2312" w:hAnsi="仿宋_GB2312" w:eastAsia="仿宋_GB2312" w:cs="仿宋_GB2312"/>
          <w:sz w:val="24"/>
          <w:szCs w:val="24"/>
          <w:highlight w:val="none"/>
        </w:rPr>
        <w:sym w:font="Wingdings" w:char="00A8"/>
      </w:r>
      <w:r>
        <w:rPr>
          <w:rFonts w:hint="eastAsia" w:ascii="仿宋_GB2312" w:hAnsi="仿宋_GB2312" w:eastAsia="仿宋_GB2312" w:cs="仿宋_GB2312"/>
          <w:sz w:val="24"/>
          <w:szCs w:val="24"/>
          <w:highlight w:val="none"/>
        </w:rPr>
        <w:t>竞争性磋商</w:t>
      </w:r>
    </w:p>
    <w:p w14:paraId="3E10FF4B">
      <w:pPr>
        <w:pStyle w:val="21"/>
        <w:numPr>
          <w:ilvl w:val="255"/>
          <w:numId w:val="0"/>
        </w:numPr>
        <w:snapToGrid w:val="0"/>
        <w:spacing w:line="360" w:lineRule="exact"/>
        <w:ind w:firstLine="420"/>
        <w:rPr>
          <w:rFonts w:ascii="仿宋_GB2312" w:hAnsi="仿宋_GB2312" w:eastAsia="仿宋_GB2312" w:cs="仿宋_GB2312"/>
          <w:sz w:val="24"/>
          <w:szCs w:val="24"/>
          <w:highlight w:val="none"/>
          <w:u w:val="single"/>
        </w:rPr>
      </w:pPr>
      <w:r>
        <w:rPr>
          <w:rFonts w:hint="eastAsia" w:ascii="仿宋_GB2312" w:hAnsi="仿宋_GB2312" w:eastAsia="仿宋_GB2312" w:cs="仿宋_GB2312"/>
          <w:sz w:val="24"/>
          <w:szCs w:val="24"/>
          <w:highlight w:val="none"/>
        </w:rPr>
        <w:t xml:space="preserve">                  </w:t>
      </w:r>
      <w:r>
        <w:rPr>
          <w:rFonts w:hint="eastAsia" w:ascii="仿宋_GB2312" w:hAnsi="仿宋_GB2312" w:eastAsia="仿宋_GB2312" w:cs="仿宋_GB2312"/>
          <w:sz w:val="24"/>
          <w:szCs w:val="24"/>
          <w:highlight w:val="none"/>
        </w:rPr>
        <w:sym w:font="Wingdings" w:char="00A8"/>
      </w:r>
      <w:r>
        <w:rPr>
          <w:rFonts w:hint="eastAsia" w:ascii="仿宋_GB2312" w:hAnsi="仿宋_GB2312" w:eastAsia="仿宋_GB2312" w:cs="仿宋_GB2312"/>
          <w:sz w:val="24"/>
          <w:szCs w:val="24"/>
          <w:highlight w:val="none"/>
        </w:rPr>
        <w:t xml:space="preserve">询价 </w:t>
      </w:r>
      <w:r>
        <w:rPr>
          <w:rFonts w:hint="eastAsia" w:ascii="仿宋_GB2312" w:hAnsi="仿宋_GB2312" w:eastAsia="仿宋_GB2312" w:cs="仿宋_GB2312"/>
          <w:sz w:val="24"/>
          <w:szCs w:val="24"/>
          <w:highlight w:val="none"/>
        </w:rPr>
        <w:sym w:font="Wingdings" w:char="00A8"/>
      </w:r>
      <w:r>
        <w:rPr>
          <w:rFonts w:hint="eastAsia" w:ascii="仿宋_GB2312" w:hAnsi="仿宋_GB2312" w:eastAsia="仿宋_GB2312" w:cs="仿宋_GB2312"/>
          <w:sz w:val="24"/>
          <w:szCs w:val="24"/>
          <w:highlight w:val="none"/>
        </w:rPr>
        <w:t xml:space="preserve">单一来源 </w:t>
      </w:r>
      <w:r>
        <w:rPr>
          <w:rFonts w:hint="eastAsia" w:ascii="仿宋_GB2312" w:hAnsi="仿宋_GB2312" w:eastAsia="仿宋_GB2312" w:cs="仿宋_GB2312"/>
          <w:sz w:val="24"/>
          <w:szCs w:val="24"/>
          <w:highlight w:val="none"/>
        </w:rPr>
        <w:sym w:font="Wingdings" w:char="00A8"/>
      </w:r>
      <w:r>
        <w:rPr>
          <w:rFonts w:hint="eastAsia" w:ascii="仿宋_GB2312" w:hAnsi="仿宋_GB2312" w:eastAsia="仿宋_GB2312" w:cs="仿宋_GB2312"/>
          <w:sz w:val="24"/>
          <w:szCs w:val="24"/>
          <w:highlight w:val="none"/>
        </w:rPr>
        <w:t xml:space="preserve">框架协议 </w:t>
      </w:r>
      <w:r>
        <w:rPr>
          <w:rFonts w:hint="eastAsia" w:ascii="仿宋_GB2312" w:hAnsi="仿宋_GB2312" w:eastAsia="仿宋_GB2312" w:cs="仿宋_GB2312"/>
          <w:sz w:val="24"/>
          <w:szCs w:val="24"/>
          <w:highlight w:val="none"/>
        </w:rPr>
        <w:sym w:font="Wingdings" w:char="00A8"/>
      </w:r>
      <w:r>
        <w:rPr>
          <w:rFonts w:hint="eastAsia" w:ascii="仿宋_GB2312" w:hAnsi="仿宋_GB2312" w:eastAsia="仿宋_GB2312" w:cs="仿宋_GB2312"/>
          <w:sz w:val="24"/>
          <w:szCs w:val="24"/>
          <w:highlight w:val="none"/>
        </w:rPr>
        <w:t>其他：</w:t>
      </w:r>
      <w:r>
        <w:rPr>
          <w:rFonts w:hint="eastAsia" w:ascii="仿宋_GB2312" w:hAnsi="仿宋_GB2312" w:eastAsia="仿宋_GB2312" w:cs="仿宋_GB2312"/>
          <w:sz w:val="24"/>
          <w:szCs w:val="24"/>
          <w:highlight w:val="none"/>
          <w:u w:val="single"/>
        </w:rPr>
        <w:t xml:space="preserve">          </w:t>
      </w:r>
    </w:p>
    <w:p w14:paraId="584F07CC">
      <w:pPr>
        <w:pStyle w:val="21"/>
        <w:numPr>
          <w:ilvl w:val="255"/>
          <w:numId w:val="0"/>
        </w:numPr>
        <w:snapToGrid w:val="0"/>
        <w:spacing w:line="360" w:lineRule="exact"/>
        <w:ind w:firstLine="240" w:firstLineChars="100"/>
        <w:rPr>
          <w:rFonts w:ascii="仿宋_GB2312" w:hAnsi="仿宋_GB2312" w:eastAsia="仿宋_GB2312" w:cs="仿宋_GB2312"/>
          <w:kern w:val="2"/>
          <w:sz w:val="24"/>
          <w:szCs w:val="24"/>
          <w:highlight w:val="none"/>
        </w:rPr>
      </w:pPr>
      <w:r>
        <w:rPr>
          <w:rFonts w:hint="eastAsia" w:ascii="仿宋_GB2312" w:hAnsi="仿宋_GB2312" w:eastAsia="仿宋_GB2312" w:cs="仿宋_GB2312"/>
          <w:sz w:val="24"/>
          <w:szCs w:val="24"/>
          <w:highlight w:val="none"/>
        </w:rPr>
        <w:t xml:space="preserve"> （</w:t>
      </w:r>
      <w:r>
        <w:rPr>
          <w:rFonts w:hint="eastAsia" w:ascii="仿宋_GB2312" w:hAnsi="仿宋_GB2312" w:eastAsia="仿宋_GB2312" w:cs="仿宋_GB2312"/>
          <w:sz w:val="24"/>
          <w:szCs w:val="24"/>
          <w:highlight w:val="none"/>
          <w:lang w:val="en"/>
        </w:rPr>
        <w:t>6</w:t>
      </w:r>
      <w:r>
        <w:rPr>
          <w:rFonts w:hint="eastAsia" w:ascii="仿宋_GB2312" w:hAnsi="仿宋_GB2312" w:eastAsia="仿宋_GB2312" w:cs="仿宋_GB2312"/>
          <w:sz w:val="24"/>
          <w:szCs w:val="24"/>
          <w:highlight w:val="none"/>
        </w:rPr>
        <w:t>）</w:t>
      </w:r>
      <w:r>
        <w:rPr>
          <w:rFonts w:hint="eastAsia" w:ascii="仿宋_GB2312" w:hAnsi="仿宋_GB2312" w:eastAsia="仿宋_GB2312" w:cs="仿宋_GB2312"/>
          <w:kern w:val="2"/>
          <w:sz w:val="24"/>
          <w:szCs w:val="24"/>
          <w:highlight w:val="none"/>
        </w:rPr>
        <w:t>中标（成交）采购标的制造商是否为中小企业：</w:t>
      </w:r>
      <w:r>
        <w:rPr>
          <w:rFonts w:hint="eastAsia" w:ascii="仿宋_GB2312" w:hAnsi="仿宋_GB2312" w:eastAsia="仿宋_GB2312" w:cs="仿宋_GB2312"/>
          <w:kern w:val="2"/>
          <w:sz w:val="24"/>
          <w:szCs w:val="24"/>
          <w:highlight w:val="none"/>
        </w:rPr>
        <w:sym w:font="Wingdings" w:char="00A8"/>
      </w:r>
      <w:r>
        <w:rPr>
          <w:rFonts w:hint="eastAsia" w:ascii="仿宋_GB2312" w:hAnsi="仿宋_GB2312" w:eastAsia="仿宋_GB2312" w:cs="仿宋_GB2312"/>
          <w:kern w:val="2"/>
          <w:sz w:val="24"/>
          <w:szCs w:val="24"/>
          <w:highlight w:val="none"/>
        </w:rPr>
        <w:t xml:space="preserve">是      </w:t>
      </w:r>
      <w:r>
        <w:rPr>
          <w:rFonts w:hint="eastAsia" w:ascii="仿宋_GB2312" w:hAnsi="仿宋_GB2312" w:eastAsia="仿宋_GB2312" w:cs="仿宋_GB2312"/>
          <w:kern w:val="2"/>
          <w:sz w:val="24"/>
          <w:szCs w:val="24"/>
          <w:highlight w:val="none"/>
        </w:rPr>
        <w:sym w:font="Wingdings" w:char="00A8"/>
      </w:r>
      <w:r>
        <w:rPr>
          <w:rFonts w:hint="eastAsia" w:ascii="仿宋_GB2312" w:hAnsi="仿宋_GB2312" w:eastAsia="仿宋_GB2312" w:cs="仿宋_GB2312"/>
          <w:kern w:val="2"/>
          <w:sz w:val="24"/>
          <w:szCs w:val="24"/>
          <w:highlight w:val="none"/>
        </w:rPr>
        <w:t>否</w:t>
      </w:r>
    </w:p>
    <w:p w14:paraId="4B119C44">
      <w:pPr>
        <w:numPr>
          <w:ilvl w:val="255"/>
          <w:numId w:val="0"/>
        </w:numPr>
        <w:adjustRightInd w:val="0"/>
        <w:snapToGrid w:val="0"/>
        <w:spacing w:line="360" w:lineRule="exact"/>
        <w:rPr>
          <w:rFonts w:ascii="仿宋_GB2312" w:hAnsi="仿宋_GB2312" w:eastAsia="仿宋_GB2312" w:cs="仿宋_GB2312"/>
          <w:iCs/>
          <w:sz w:val="24"/>
          <w:highlight w:val="none"/>
        </w:rPr>
      </w:pPr>
      <w:r>
        <w:rPr>
          <w:rFonts w:hint="eastAsia" w:ascii="仿宋_GB2312" w:hAnsi="仿宋_GB2312" w:eastAsia="仿宋_GB2312" w:cs="仿宋_GB2312"/>
          <w:sz w:val="24"/>
          <w:highlight w:val="none"/>
        </w:rPr>
        <w:t xml:space="preserve">     本合同是否为专门面向中小企业的采购合同（中小企业预留合同）：</w:t>
      </w:r>
      <w:r>
        <w:rPr>
          <w:rFonts w:hint="eastAsia" w:ascii="仿宋_GB2312" w:hAnsi="仿宋_GB2312" w:eastAsia="仿宋_GB2312" w:cs="仿宋_GB2312"/>
          <w:iCs/>
          <w:sz w:val="24"/>
          <w:highlight w:val="none"/>
        </w:rPr>
        <w:sym w:font="Wingdings" w:char="00A8"/>
      </w:r>
      <w:r>
        <w:rPr>
          <w:rFonts w:hint="eastAsia" w:ascii="仿宋_GB2312" w:hAnsi="仿宋_GB2312" w:eastAsia="仿宋_GB2312" w:cs="仿宋_GB2312"/>
          <w:iCs/>
          <w:sz w:val="24"/>
          <w:highlight w:val="none"/>
        </w:rPr>
        <w:t xml:space="preserve">是    </w:t>
      </w:r>
      <w:r>
        <w:rPr>
          <w:rFonts w:hint="eastAsia" w:ascii="仿宋_GB2312" w:hAnsi="仿宋_GB2312" w:eastAsia="仿宋_GB2312" w:cs="仿宋_GB2312"/>
          <w:iCs/>
          <w:sz w:val="24"/>
          <w:highlight w:val="none"/>
        </w:rPr>
        <w:sym w:font="Wingdings" w:char="00FE"/>
      </w:r>
      <w:r>
        <w:rPr>
          <w:rFonts w:hint="eastAsia" w:ascii="仿宋_GB2312" w:hAnsi="仿宋_GB2312" w:eastAsia="仿宋_GB2312" w:cs="仿宋_GB2312"/>
          <w:iCs/>
          <w:sz w:val="24"/>
          <w:highlight w:val="none"/>
        </w:rPr>
        <w:t>否</w:t>
      </w:r>
    </w:p>
    <w:p w14:paraId="1118F047">
      <w:pPr>
        <w:numPr>
          <w:ilvl w:val="255"/>
          <w:numId w:val="0"/>
        </w:numPr>
        <w:adjustRightInd w:val="0"/>
        <w:snapToGrid w:val="0"/>
        <w:spacing w:line="360" w:lineRule="exact"/>
        <w:rPr>
          <w:rFonts w:ascii="仿宋_GB2312" w:hAnsi="仿宋_GB2312" w:eastAsia="仿宋_GB2312" w:cs="仿宋_GB2312"/>
          <w:iCs/>
          <w:sz w:val="24"/>
          <w:highlight w:val="none"/>
        </w:rPr>
      </w:pPr>
      <w:r>
        <w:rPr>
          <w:rFonts w:hint="eastAsia" w:ascii="仿宋_GB2312" w:hAnsi="仿宋_GB2312" w:eastAsia="仿宋_GB2312" w:cs="仿宋_GB2312"/>
          <w:sz w:val="24"/>
          <w:highlight w:val="none"/>
        </w:rPr>
        <w:t xml:space="preserve">     若本项目不专门面向中小企业采购，是否给予小微企业评审优惠：</w:t>
      </w:r>
      <w:r>
        <w:rPr>
          <w:rFonts w:hint="eastAsia" w:ascii="仿宋_GB2312" w:hAnsi="仿宋_GB2312" w:eastAsia="仿宋_GB2312" w:cs="仿宋_GB2312"/>
          <w:iCs/>
          <w:sz w:val="24"/>
          <w:highlight w:val="none"/>
        </w:rPr>
        <w:sym w:font="Wingdings" w:char="00FE"/>
      </w:r>
      <w:r>
        <w:rPr>
          <w:rFonts w:hint="eastAsia" w:ascii="仿宋_GB2312" w:hAnsi="仿宋_GB2312" w:eastAsia="仿宋_GB2312" w:cs="仿宋_GB2312"/>
          <w:iCs/>
          <w:sz w:val="24"/>
          <w:highlight w:val="none"/>
        </w:rPr>
        <w:t xml:space="preserve">是   </w:t>
      </w:r>
      <w:r>
        <w:rPr>
          <w:rFonts w:hint="eastAsia" w:ascii="仿宋_GB2312" w:hAnsi="仿宋_GB2312" w:eastAsia="仿宋_GB2312" w:cs="仿宋_GB2312"/>
          <w:iCs/>
          <w:sz w:val="24"/>
          <w:highlight w:val="none"/>
        </w:rPr>
        <w:sym w:font="Wingdings" w:char="00A8"/>
      </w:r>
      <w:r>
        <w:rPr>
          <w:rFonts w:hint="eastAsia" w:ascii="仿宋_GB2312" w:hAnsi="仿宋_GB2312" w:eastAsia="仿宋_GB2312" w:cs="仿宋_GB2312"/>
          <w:iCs/>
          <w:sz w:val="24"/>
          <w:highlight w:val="none"/>
        </w:rPr>
        <w:t>否</w:t>
      </w:r>
    </w:p>
    <w:p w14:paraId="71547DA9">
      <w:pPr>
        <w:numPr>
          <w:ilvl w:val="255"/>
          <w:numId w:val="0"/>
        </w:numPr>
        <w:adjustRightInd w:val="0"/>
        <w:snapToGrid w:val="0"/>
        <w:spacing w:line="360" w:lineRule="exact"/>
        <w:rPr>
          <w:rFonts w:ascii="仿宋_GB2312" w:hAnsi="仿宋_GB2312" w:eastAsia="仿宋_GB2312" w:cs="仿宋_GB2312"/>
          <w:iCs/>
          <w:sz w:val="24"/>
          <w:highlight w:val="none"/>
        </w:rPr>
      </w:pPr>
      <w:r>
        <w:rPr>
          <w:rFonts w:hint="eastAsia" w:ascii="仿宋_GB2312" w:hAnsi="仿宋_GB2312" w:eastAsia="仿宋_GB2312" w:cs="仿宋_GB2312"/>
          <w:sz w:val="24"/>
          <w:highlight w:val="none"/>
        </w:rPr>
        <w:t xml:space="preserve">    中标（成交）采购标的制造商是否为残疾人福利性单位：</w:t>
      </w:r>
      <w:r>
        <w:rPr>
          <w:rFonts w:hint="eastAsia" w:ascii="仿宋_GB2312" w:hAnsi="仿宋_GB2312" w:eastAsia="仿宋_GB2312" w:cs="仿宋_GB2312"/>
          <w:iCs/>
          <w:sz w:val="24"/>
          <w:highlight w:val="none"/>
        </w:rPr>
        <w:sym w:font="Wingdings" w:char="00A8"/>
      </w:r>
      <w:r>
        <w:rPr>
          <w:rFonts w:hint="eastAsia" w:ascii="仿宋_GB2312" w:hAnsi="仿宋_GB2312" w:eastAsia="仿宋_GB2312" w:cs="仿宋_GB2312"/>
          <w:iCs/>
          <w:sz w:val="24"/>
          <w:highlight w:val="none"/>
        </w:rPr>
        <w:t xml:space="preserve">是   </w:t>
      </w:r>
      <w:r>
        <w:rPr>
          <w:rFonts w:hint="eastAsia" w:ascii="仿宋_GB2312" w:hAnsi="仿宋_GB2312" w:eastAsia="仿宋_GB2312" w:cs="仿宋_GB2312"/>
          <w:iCs/>
          <w:sz w:val="24"/>
          <w:highlight w:val="none"/>
        </w:rPr>
        <w:sym w:font="Wingdings" w:char="00A8"/>
      </w:r>
      <w:r>
        <w:rPr>
          <w:rFonts w:hint="eastAsia" w:ascii="仿宋_GB2312" w:hAnsi="仿宋_GB2312" w:eastAsia="仿宋_GB2312" w:cs="仿宋_GB2312"/>
          <w:iCs/>
          <w:sz w:val="24"/>
          <w:highlight w:val="none"/>
        </w:rPr>
        <w:t>否</w:t>
      </w:r>
    </w:p>
    <w:p w14:paraId="143C54D4">
      <w:pPr>
        <w:snapToGrid w:val="0"/>
        <w:spacing w:line="360" w:lineRule="exact"/>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 xml:space="preserve">    中标（成交）采购标的制造商是否为监狱企业：</w:t>
      </w:r>
      <w:r>
        <w:rPr>
          <w:rFonts w:hint="eastAsia" w:ascii="仿宋_GB2312" w:hAnsi="仿宋_GB2312" w:eastAsia="仿宋_GB2312" w:cs="仿宋_GB2312"/>
          <w:iCs/>
          <w:sz w:val="24"/>
          <w:highlight w:val="none"/>
        </w:rPr>
        <w:sym w:font="Wingdings" w:char="00A8"/>
      </w:r>
      <w:r>
        <w:rPr>
          <w:rFonts w:hint="eastAsia" w:ascii="仿宋_GB2312" w:hAnsi="仿宋_GB2312" w:eastAsia="仿宋_GB2312" w:cs="仿宋_GB2312"/>
          <w:iCs/>
          <w:sz w:val="24"/>
          <w:highlight w:val="none"/>
        </w:rPr>
        <w:t xml:space="preserve">是       </w:t>
      </w:r>
      <w:r>
        <w:rPr>
          <w:rFonts w:hint="eastAsia" w:ascii="仿宋_GB2312" w:hAnsi="仿宋_GB2312" w:eastAsia="仿宋_GB2312" w:cs="仿宋_GB2312"/>
          <w:iCs/>
          <w:sz w:val="24"/>
          <w:highlight w:val="none"/>
        </w:rPr>
        <w:sym w:font="Wingdings" w:char="00A8"/>
      </w:r>
      <w:r>
        <w:rPr>
          <w:rFonts w:hint="eastAsia" w:ascii="仿宋_GB2312" w:hAnsi="仿宋_GB2312" w:eastAsia="仿宋_GB2312" w:cs="仿宋_GB2312"/>
          <w:iCs/>
          <w:sz w:val="24"/>
          <w:highlight w:val="none"/>
        </w:rPr>
        <w:t>否</w:t>
      </w:r>
    </w:p>
    <w:p w14:paraId="6AD614E4">
      <w:pPr>
        <w:adjustRightInd w:val="0"/>
        <w:snapToGrid w:val="0"/>
        <w:spacing w:line="360" w:lineRule="exact"/>
        <w:ind w:firstLine="480" w:firstLineChars="200"/>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w:t>
      </w:r>
      <w:r>
        <w:rPr>
          <w:rFonts w:hint="eastAsia" w:ascii="仿宋_GB2312" w:hAnsi="仿宋_GB2312" w:eastAsia="仿宋_GB2312" w:cs="仿宋_GB2312"/>
          <w:sz w:val="24"/>
          <w:highlight w:val="none"/>
          <w:lang w:val="en"/>
        </w:rPr>
        <w:t>7</w:t>
      </w:r>
      <w:r>
        <w:rPr>
          <w:rFonts w:hint="eastAsia" w:ascii="仿宋_GB2312" w:hAnsi="仿宋_GB2312" w:eastAsia="仿宋_GB2312" w:cs="仿宋_GB2312"/>
          <w:sz w:val="24"/>
          <w:highlight w:val="none"/>
        </w:rPr>
        <w:t>）合同是否分包：</w:t>
      </w:r>
      <w:r>
        <w:rPr>
          <w:rFonts w:hint="eastAsia" w:ascii="仿宋_GB2312" w:hAnsi="仿宋_GB2312" w:eastAsia="仿宋_GB2312" w:cs="仿宋_GB2312"/>
          <w:iCs/>
          <w:sz w:val="24"/>
          <w:highlight w:val="none"/>
        </w:rPr>
        <w:sym w:font="Wingdings" w:char="00A8"/>
      </w:r>
      <w:r>
        <w:rPr>
          <w:rFonts w:hint="eastAsia" w:ascii="仿宋_GB2312" w:hAnsi="仿宋_GB2312" w:eastAsia="仿宋_GB2312" w:cs="仿宋_GB2312"/>
          <w:iCs/>
          <w:sz w:val="24"/>
          <w:highlight w:val="none"/>
        </w:rPr>
        <w:t xml:space="preserve">是       </w:t>
      </w:r>
      <w:r>
        <w:rPr>
          <w:rFonts w:hint="eastAsia" w:ascii="仿宋_GB2312" w:hAnsi="仿宋_GB2312" w:eastAsia="仿宋_GB2312" w:cs="仿宋_GB2312"/>
          <w:iCs/>
          <w:sz w:val="24"/>
          <w:highlight w:val="none"/>
        </w:rPr>
        <w:sym w:font="Wingdings" w:char="00FE"/>
      </w:r>
      <w:r>
        <w:rPr>
          <w:rFonts w:hint="eastAsia" w:ascii="仿宋_GB2312" w:hAnsi="仿宋_GB2312" w:eastAsia="仿宋_GB2312" w:cs="仿宋_GB2312"/>
          <w:iCs/>
          <w:sz w:val="24"/>
          <w:highlight w:val="none"/>
        </w:rPr>
        <w:t>否</w:t>
      </w:r>
    </w:p>
    <w:p w14:paraId="65051F00">
      <w:pPr>
        <w:numPr>
          <w:ilvl w:val="255"/>
          <w:numId w:val="0"/>
        </w:numPr>
        <w:adjustRightInd w:val="0"/>
        <w:snapToGrid w:val="0"/>
        <w:spacing w:line="360" w:lineRule="exact"/>
        <w:rPr>
          <w:rFonts w:ascii="仿宋_GB2312" w:hAnsi="仿宋_GB2312" w:eastAsia="仿宋_GB2312" w:cs="仿宋_GB2312"/>
          <w:iCs/>
          <w:sz w:val="24"/>
          <w:highlight w:val="none"/>
        </w:rPr>
      </w:pPr>
      <w:r>
        <w:rPr>
          <w:rFonts w:hint="eastAsia" w:ascii="仿宋_GB2312" w:hAnsi="仿宋_GB2312" w:eastAsia="仿宋_GB2312" w:cs="仿宋_GB2312"/>
          <w:sz w:val="24"/>
          <w:highlight w:val="none"/>
        </w:rPr>
        <w:t xml:space="preserve">    （</w:t>
      </w:r>
      <w:r>
        <w:rPr>
          <w:rFonts w:hint="eastAsia" w:ascii="仿宋_GB2312" w:hAnsi="仿宋_GB2312" w:eastAsia="仿宋_GB2312" w:cs="仿宋_GB2312"/>
          <w:sz w:val="24"/>
          <w:highlight w:val="none"/>
          <w:lang w:val="en"/>
        </w:rPr>
        <w:t>8</w:t>
      </w:r>
      <w:r>
        <w:rPr>
          <w:rFonts w:hint="eastAsia" w:ascii="仿宋_GB2312" w:hAnsi="仿宋_GB2312" w:eastAsia="仿宋_GB2312" w:cs="仿宋_GB2312"/>
          <w:sz w:val="24"/>
          <w:highlight w:val="none"/>
        </w:rPr>
        <w:t>）中标（成交）供应商是否为外商投资企业：</w:t>
      </w:r>
      <w:r>
        <w:rPr>
          <w:rFonts w:hint="eastAsia" w:ascii="仿宋_GB2312" w:hAnsi="仿宋_GB2312" w:eastAsia="仿宋_GB2312" w:cs="仿宋_GB2312"/>
          <w:iCs/>
          <w:sz w:val="24"/>
          <w:highlight w:val="none"/>
        </w:rPr>
        <w:sym w:font="Wingdings" w:char="00A8"/>
      </w:r>
      <w:r>
        <w:rPr>
          <w:rFonts w:hint="eastAsia" w:ascii="仿宋_GB2312" w:hAnsi="仿宋_GB2312" w:eastAsia="仿宋_GB2312" w:cs="仿宋_GB2312"/>
          <w:iCs/>
          <w:sz w:val="24"/>
          <w:highlight w:val="none"/>
        </w:rPr>
        <w:t xml:space="preserve">是       </w:t>
      </w:r>
      <w:r>
        <w:rPr>
          <w:rFonts w:hint="eastAsia" w:ascii="仿宋_GB2312" w:hAnsi="仿宋_GB2312" w:eastAsia="仿宋_GB2312" w:cs="仿宋_GB2312"/>
          <w:iCs/>
          <w:sz w:val="24"/>
          <w:highlight w:val="none"/>
        </w:rPr>
        <w:sym w:font="Wingdings" w:char="00A8"/>
      </w:r>
      <w:r>
        <w:rPr>
          <w:rFonts w:hint="eastAsia" w:ascii="仿宋_GB2312" w:hAnsi="仿宋_GB2312" w:eastAsia="仿宋_GB2312" w:cs="仿宋_GB2312"/>
          <w:iCs/>
          <w:sz w:val="24"/>
          <w:highlight w:val="none"/>
        </w:rPr>
        <w:t>否</w:t>
      </w:r>
    </w:p>
    <w:p w14:paraId="097C531B">
      <w:pPr>
        <w:pStyle w:val="21"/>
        <w:tabs>
          <w:tab w:val="left" w:pos="1340"/>
        </w:tabs>
        <w:spacing w:line="360" w:lineRule="exact"/>
        <w:ind w:firstLine="480"/>
        <w:rPr>
          <w:rFonts w:ascii="仿宋_GB2312" w:hAnsi="仿宋_GB2312" w:eastAsia="仿宋_GB2312" w:cs="仿宋_GB2312"/>
          <w:sz w:val="24"/>
          <w:szCs w:val="24"/>
          <w:highlight w:val="none"/>
          <w:u w:val="single"/>
        </w:rPr>
      </w:pPr>
      <w:r>
        <w:rPr>
          <w:rFonts w:hint="eastAsia" w:ascii="仿宋_GB2312" w:hAnsi="仿宋_GB2312" w:eastAsia="仿宋_GB2312" w:cs="仿宋_GB2312"/>
          <w:sz w:val="24"/>
          <w:szCs w:val="24"/>
          <w:highlight w:val="none"/>
        </w:rPr>
        <w:t xml:space="preserve"> 外商投资企业类型：</w:t>
      </w:r>
      <w:r>
        <w:rPr>
          <w:rFonts w:hint="eastAsia" w:ascii="仿宋_GB2312" w:hAnsi="仿宋_GB2312" w:eastAsia="仿宋_GB2312" w:cs="仿宋_GB2312"/>
          <w:iCs/>
          <w:sz w:val="24"/>
          <w:szCs w:val="24"/>
          <w:highlight w:val="none"/>
        </w:rPr>
        <w:sym w:font="Wingdings" w:char="00A8"/>
      </w:r>
      <w:r>
        <w:rPr>
          <w:rFonts w:hint="eastAsia" w:ascii="仿宋_GB2312" w:hAnsi="仿宋_GB2312" w:eastAsia="仿宋_GB2312" w:cs="仿宋_GB2312"/>
          <w:sz w:val="24"/>
          <w:szCs w:val="24"/>
          <w:highlight w:val="none"/>
        </w:rPr>
        <w:t xml:space="preserve">全部由外国投资者投资  </w:t>
      </w:r>
      <w:r>
        <w:rPr>
          <w:rFonts w:hint="eastAsia" w:ascii="仿宋_GB2312" w:hAnsi="仿宋_GB2312" w:eastAsia="仿宋_GB2312" w:cs="仿宋_GB2312"/>
          <w:iCs/>
          <w:sz w:val="24"/>
          <w:szCs w:val="24"/>
          <w:highlight w:val="none"/>
        </w:rPr>
        <w:sym w:font="Wingdings" w:char="00A8"/>
      </w:r>
      <w:r>
        <w:rPr>
          <w:rFonts w:hint="eastAsia" w:ascii="仿宋_GB2312" w:hAnsi="仿宋_GB2312" w:eastAsia="仿宋_GB2312" w:cs="仿宋_GB2312"/>
          <w:iCs/>
          <w:sz w:val="24"/>
          <w:szCs w:val="24"/>
          <w:highlight w:val="none"/>
        </w:rPr>
        <w:t>部分由外国投资者投资</w:t>
      </w:r>
    </w:p>
    <w:p w14:paraId="7BFBEE34">
      <w:pPr>
        <w:numPr>
          <w:ilvl w:val="255"/>
          <w:numId w:val="0"/>
        </w:numPr>
        <w:adjustRightInd w:val="0"/>
        <w:snapToGrid w:val="0"/>
        <w:spacing w:line="360" w:lineRule="exact"/>
        <w:ind w:firstLine="480" w:firstLineChars="200"/>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w:t>
      </w:r>
      <w:r>
        <w:rPr>
          <w:rFonts w:hint="eastAsia" w:ascii="仿宋_GB2312" w:hAnsi="仿宋_GB2312" w:eastAsia="仿宋_GB2312" w:cs="仿宋_GB2312"/>
          <w:sz w:val="24"/>
          <w:highlight w:val="none"/>
          <w:lang w:val="en"/>
        </w:rPr>
        <w:t>9</w:t>
      </w:r>
      <w:r>
        <w:rPr>
          <w:rFonts w:hint="eastAsia" w:ascii="仿宋_GB2312" w:hAnsi="仿宋_GB2312" w:eastAsia="仿宋_GB2312" w:cs="仿宋_GB2312"/>
          <w:sz w:val="24"/>
          <w:highlight w:val="none"/>
        </w:rPr>
        <w:t>）是否涉及进口产品：</w:t>
      </w:r>
    </w:p>
    <w:p w14:paraId="5DD3A206">
      <w:pPr>
        <w:numPr>
          <w:ilvl w:val="255"/>
          <w:numId w:val="0"/>
        </w:numPr>
        <w:adjustRightInd w:val="0"/>
        <w:snapToGrid w:val="0"/>
        <w:spacing w:line="360" w:lineRule="exact"/>
        <w:ind w:firstLine="480" w:firstLineChars="200"/>
        <w:rPr>
          <w:rFonts w:ascii="仿宋_GB2312" w:hAnsi="仿宋_GB2312" w:eastAsia="仿宋_GB2312" w:cs="仿宋_GB2312"/>
          <w:sz w:val="24"/>
          <w:highlight w:val="none"/>
          <w:u w:val="single"/>
        </w:rPr>
      </w:pPr>
      <w:r>
        <w:rPr>
          <w:rFonts w:hint="eastAsia" w:ascii="仿宋_GB2312" w:hAnsi="仿宋_GB2312" w:eastAsia="仿宋_GB2312" w:cs="仿宋_GB2312"/>
          <w:sz w:val="24"/>
          <w:highlight w:val="none"/>
        </w:rPr>
        <w:t xml:space="preserve"> </w:t>
      </w:r>
      <w:r>
        <w:rPr>
          <w:rFonts w:hint="eastAsia" w:ascii="仿宋_GB2312" w:hAnsi="仿宋_GB2312" w:eastAsia="仿宋_GB2312" w:cs="仿宋_GB2312"/>
          <w:sz w:val="24"/>
          <w:highlight w:val="none"/>
        </w:rPr>
        <w:sym w:font="Wingdings" w:char="00A8"/>
      </w:r>
      <w:r>
        <w:rPr>
          <w:rFonts w:hint="eastAsia" w:ascii="仿宋_GB2312" w:hAnsi="仿宋_GB2312" w:eastAsia="仿宋_GB2312" w:cs="仿宋_GB2312"/>
          <w:sz w:val="24"/>
          <w:highlight w:val="none"/>
        </w:rPr>
        <w:t>是，《政府采购品目分类目录》底级品目名称：</w:t>
      </w:r>
      <w:r>
        <w:rPr>
          <w:rFonts w:hint="eastAsia" w:ascii="仿宋_GB2312" w:hAnsi="仿宋_GB2312" w:eastAsia="仿宋_GB2312" w:cs="仿宋_GB2312"/>
          <w:sz w:val="24"/>
          <w:highlight w:val="none"/>
          <w:u w:val="single"/>
        </w:rPr>
        <w:t xml:space="preserve">         </w:t>
      </w:r>
      <w:r>
        <w:rPr>
          <w:rFonts w:hint="eastAsia" w:ascii="仿宋_GB2312" w:hAnsi="仿宋_GB2312" w:eastAsia="仿宋_GB2312" w:cs="仿宋_GB2312"/>
          <w:sz w:val="24"/>
          <w:highlight w:val="none"/>
        </w:rPr>
        <w:t xml:space="preserve"> 金额：</w:t>
      </w:r>
      <w:r>
        <w:rPr>
          <w:rFonts w:hint="eastAsia" w:ascii="仿宋_GB2312" w:hAnsi="仿宋_GB2312" w:eastAsia="仿宋_GB2312" w:cs="仿宋_GB2312"/>
          <w:sz w:val="24"/>
          <w:highlight w:val="none"/>
          <w:u w:val="single"/>
        </w:rPr>
        <w:t xml:space="preserve">        </w:t>
      </w:r>
    </w:p>
    <w:p w14:paraId="4DF20721">
      <w:pPr>
        <w:numPr>
          <w:ilvl w:val="255"/>
          <w:numId w:val="0"/>
        </w:numPr>
        <w:adjustRightInd w:val="0"/>
        <w:snapToGrid w:val="0"/>
        <w:spacing w:line="360" w:lineRule="exact"/>
        <w:ind w:firstLine="480" w:firstLineChars="200"/>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国别：</w:t>
      </w:r>
      <w:r>
        <w:rPr>
          <w:rFonts w:hint="eastAsia" w:ascii="仿宋_GB2312" w:hAnsi="仿宋_GB2312" w:eastAsia="仿宋_GB2312" w:cs="仿宋_GB2312"/>
          <w:sz w:val="24"/>
          <w:highlight w:val="none"/>
          <w:u w:val="single"/>
        </w:rPr>
        <w:t xml:space="preserve">        </w:t>
      </w:r>
      <w:r>
        <w:rPr>
          <w:rFonts w:hint="eastAsia" w:ascii="仿宋_GB2312" w:hAnsi="仿宋_GB2312" w:eastAsia="仿宋_GB2312" w:cs="仿宋_GB2312"/>
          <w:sz w:val="24"/>
          <w:highlight w:val="none"/>
        </w:rPr>
        <w:t xml:space="preserve"> 品牌：</w:t>
      </w:r>
      <w:r>
        <w:rPr>
          <w:rFonts w:hint="eastAsia" w:ascii="仿宋_GB2312" w:hAnsi="仿宋_GB2312" w:eastAsia="仿宋_GB2312" w:cs="仿宋_GB2312"/>
          <w:sz w:val="24"/>
          <w:highlight w:val="none"/>
          <w:u w:val="single"/>
        </w:rPr>
        <w:t xml:space="preserve">        </w:t>
      </w:r>
      <w:r>
        <w:rPr>
          <w:rFonts w:hint="eastAsia" w:ascii="仿宋_GB2312" w:hAnsi="仿宋_GB2312" w:eastAsia="仿宋_GB2312" w:cs="仿宋_GB2312"/>
          <w:sz w:val="24"/>
          <w:highlight w:val="none"/>
        </w:rPr>
        <w:t xml:space="preserve"> 规格型号：</w:t>
      </w:r>
      <w:r>
        <w:rPr>
          <w:rFonts w:hint="eastAsia" w:ascii="仿宋_GB2312" w:hAnsi="仿宋_GB2312" w:eastAsia="仿宋_GB2312" w:cs="仿宋_GB2312"/>
          <w:sz w:val="24"/>
          <w:highlight w:val="none"/>
          <w:u w:val="single"/>
        </w:rPr>
        <w:t xml:space="preserve">        </w:t>
      </w:r>
      <w:r>
        <w:rPr>
          <w:rFonts w:hint="eastAsia" w:ascii="仿宋_GB2312" w:hAnsi="仿宋_GB2312" w:eastAsia="仿宋_GB2312" w:cs="仿宋_GB2312"/>
          <w:sz w:val="24"/>
          <w:highlight w:val="none"/>
        </w:rPr>
        <w:t xml:space="preserve">      </w:t>
      </w:r>
    </w:p>
    <w:p w14:paraId="2F1AB5D1">
      <w:pPr>
        <w:adjustRightInd w:val="0"/>
        <w:snapToGrid w:val="0"/>
        <w:spacing w:line="360" w:lineRule="exact"/>
        <w:ind w:firstLine="480" w:firstLineChars="200"/>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 xml:space="preserve"> </w:t>
      </w:r>
      <w:r>
        <w:rPr>
          <w:rFonts w:hint="eastAsia" w:ascii="仿宋_GB2312" w:hAnsi="仿宋_GB2312" w:eastAsia="仿宋_GB2312" w:cs="仿宋_GB2312"/>
          <w:sz w:val="24"/>
          <w:highlight w:val="none"/>
        </w:rPr>
        <w:sym w:font="Wingdings" w:char="00FE"/>
      </w:r>
      <w:r>
        <w:rPr>
          <w:rFonts w:hint="eastAsia" w:ascii="仿宋_GB2312" w:hAnsi="仿宋_GB2312" w:eastAsia="仿宋_GB2312" w:cs="仿宋_GB2312"/>
          <w:sz w:val="24"/>
          <w:highlight w:val="none"/>
        </w:rPr>
        <w:t>否</w:t>
      </w:r>
    </w:p>
    <w:p w14:paraId="69A989CA">
      <w:pPr>
        <w:numPr>
          <w:ilvl w:val="255"/>
          <w:numId w:val="0"/>
        </w:numPr>
        <w:tabs>
          <w:tab w:val="left" w:pos="740"/>
        </w:tabs>
        <w:adjustRightInd w:val="0"/>
        <w:snapToGrid w:val="0"/>
        <w:spacing w:line="360" w:lineRule="exact"/>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 xml:space="preserve">    （1</w:t>
      </w:r>
      <w:r>
        <w:rPr>
          <w:rFonts w:hint="eastAsia" w:ascii="仿宋_GB2312" w:hAnsi="仿宋_GB2312" w:eastAsia="仿宋_GB2312" w:cs="仿宋_GB2312"/>
          <w:sz w:val="24"/>
          <w:highlight w:val="none"/>
          <w:lang w:val="en"/>
        </w:rPr>
        <w:t>0</w:t>
      </w:r>
      <w:r>
        <w:rPr>
          <w:rFonts w:hint="eastAsia" w:ascii="仿宋_GB2312" w:hAnsi="仿宋_GB2312" w:eastAsia="仿宋_GB2312" w:cs="仿宋_GB2312"/>
          <w:sz w:val="24"/>
          <w:highlight w:val="none"/>
        </w:rPr>
        <w:t>）是否涉及节能产品：</w:t>
      </w:r>
    </w:p>
    <w:p w14:paraId="28DD407E">
      <w:pPr>
        <w:numPr>
          <w:ilvl w:val="255"/>
          <w:numId w:val="0"/>
        </w:numPr>
        <w:tabs>
          <w:tab w:val="left" w:pos="740"/>
        </w:tabs>
        <w:adjustRightInd w:val="0"/>
        <w:snapToGrid w:val="0"/>
        <w:spacing w:line="360" w:lineRule="exact"/>
        <w:rPr>
          <w:rFonts w:ascii="仿宋_GB2312" w:hAnsi="仿宋_GB2312" w:eastAsia="仿宋_GB2312" w:cs="仿宋_GB2312"/>
          <w:iCs/>
          <w:sz w:val="24"/>
          <w:highlight w:val="none"/>
        </w:rPr>
      </w:pPr>
      <w:r>
        <w:rPr>
          <w:rFonts w:hint="eastAsia" w:ascii="仿宋_GB2312" w:hAnsi="仿宋_GB2312" w:eastAsia="仿宋_GB2312" w:cs="仿宋_GB2312"/>
          <w:sz w:val="24"/>
          <w:highlight w:val="none"/>
        </w:rPr>
        <w:t xml:space="preserve">     </w:t>
      </w:r>
      <w:r>
        <w:rPr>
          <w:rFonts w:hint="eastAsia" w:ascii="仿宋_GB2312" w:hAnsi="仿宋_GB2312" w:eastAsia="仿宋_GB2312" w:cs="仿宋_GB2312"/>
          <w:sz w:val="24"/>
          <w:highlight w:val="none"/>
        </w:rPr>
        <w:sym w:font="Wingdings" w:char="00A8"/>
      </w:r>
      <w:r>
        <w:rPr>
          <w:rFonts w:hint="eastAsia" w:ascii="仿宋_GB2312" w:hAnsi="仿宋_GB2312" w:eastAsia="仿宋_GB2312" w:cs="仿宋_GB2312"/>
          <w:sz w:val="24"/>
          <w:highlight w:val="none"/>
        </w:rPr>
        <w:t>是，《节能产品政府采购品目清单》的底级品目名称：</w:t>
      </w:r>
      <w:r>
        <w:rPr>
          <w:rFonts w:hint="eastAsia" w:ascii="仿宋_GB2312" w:hAnsi="仿宋_GB2312" w:eastAsia="仿宋_GB2312" w:cs="仿宋_GB2312"/>
          <w:sz w:val="24"/>
          <w:highlight w:val="none"/>
          <w:u w:val="single"/>
        </w:rPr>
        <w:t xml:space="preserve">         </w:t>
      </w:r>
      <w:r>
        <w:rPr>
          <w:rFonts w:hint="eastAsia" w:ascii="仿宋_GB2312" w:hAnsi="仿宋_GB2312" w:eastAsia="仿宋_GB2312" w:cs="仿宋_GB2312"/>
          <w:iCs/>
          <w:sz w:val="24"/>
          <w:highlight w:val="none"/>
        </w:rPr>
        <w:t xml:space="preserve">     </w:t>
      </w:r>
    </w:p>
    <w:p w14:paraId="1BC5BB16">
      <w:pPr>
        <w:numPr>
          <w:ilvl w:val="255"/>
          <w:numId w:val="0"/>
        </w:numPr>
        <w:tabs>
          <w:tab w:val="left" w:pos="740"/>
        </w:tabs>
        <w:adjustRightInd w:val="0"/>
        <w:snapToGrid w:val="0"/>
        <w:spacing w:line="360" w:lineRule="exact"/>
        <w:rPr>
          <w:rFonts w:ascii="仿宋_GB2312" w:hAnsi="仿宋_GB2312" w:eastAsia="仿宋_GB2312" w:cs="仿宋_GB2312"/>
          <w:iCs/>
          <w:sz w:val="24"/>
          <w:highlight w:val="none"/>
        </w:rPr>
      </w:pPr>
      <w:r>
        <w:rPr>
          <w:rFonts w:hint="eastAsia" w:ascii="仿宋_GB2312" w:hAnsi="仿宋_GB2312" w:eastAsia="仿宋_GB2312" w:cs="仿宋_GB2312"/>
          <w:iCs/>
          <w:sz w:val="24"/>
          <w:highlight w:val="none"/>
        </w:rPr>
        <w:t xml:space="preserve">                </w:t>
      </w:r>
      <w:r>
        <w:rPr>
          <w:rFonts w:hint="eastAsia" w:ascii="仿宋_GB2312" w:hAnsi="仿宋_GB2312" w:eastAsia="仿宋_GB2312" w:cs="仿宋_GB2312"/>
          <w:iCs/>
          <w:sz w:val="24"/>
          <w:highlight w:val="none"/>
        </w:rPr>
        <w:sym w:font="Wingdings" w:char="00A8"/>
      </w:r>
      <w:r>
        <w:rPr>
          <w:rFonts w:hint="eastAsia" w:ascii="仿宋_GB2312" w:hAnsi="仿宋_GB2312" w:eastAsia="仿宋_GB2312" w:cs="仿宋_GB2312"/>
          <w:iCs/>
          <w:sz w:val="24"/>
          <w:highlight w:val="none"/>
        </w:rPr>
        <w:t xml:space="preserve">强制采购       </w:t>
      </w:r>
      <w:r>
        <w:rPr>
          <w:rFonts w:hint="eastAsia" w:ascii="仿宋_GB2312" w:hAnsi="仿宋_GB2312" w:eastAsia="仿宋_GB2312" w:cs="仿宋_GB2312"/>
          <w:iCs/>
          <w:sz w:val="24"/>
          <w:highlight w:val="none"/>
        </w:rPr>
        <w:sym w:font="Wingdings" w:char="00A8"/>
      </w:r>
      <w:r>
        <w:rPr>
          <w:rFonts w:hint="eastAsia" w:ascii="仿宋_GB2312" w:hAnsi="仿宋_GB2312" w:eastAsia="仿宋_GB2312" w:cs="仿宋_GB2312"/>
          <w:iCs/>
          <w:sz w:val="24"/>
          <w:highlight w:val="none"/>
        </w:rPr>
        <w:t xml:space="preserve">优先采购    </w:t>
      </w:r>
    </w:p>
    <w:p w14:paraId="79F25742">
      <w:pPr>
        <w:numPr>
          <w:ilvl w:val="255"/>
          <w:numId w:val="0"/>
        </w:numPr>
        <w:tabs>
          <w:tab w:val="left" w:pos="740"/>
        </w:tabs>
        <w:adjustRightInd w:val="0"/>
        <w:snapToGrid w:val="0"/>
        <w:spacing w:line="360" w:lineRule="exact"/>
        <w:rPr>
          <w:rFonts w:ascii="仿宋_GB2312" w:hAnsi="仿宋_GB2312" w:eastAsia="仿宋_GB2312" w:cs="仿宋_GB2312"/>
          <w:sz w:val="24"/>
          <w:highlight w:val="none"/>
        </w:rPr>
      </w:pPr>
      <w:r>
        <w:rPr>
          <w:rFonts w:hint="eastAsia" w:ascii="仿宋_GB2312" w:hAnsi="仿宋_GB2312" w:eastAsia="仿宋_GB2312" w:cs="仿宋_GB2312"/>
          <w:iCs/>
          <w:sz w:val="24"/>
          <w:highlight w:val="none"/>
        </w:rPr>
        <w:t xml:space="preserve">     </w:t>
      </w:r>
      <w:r>
        <w:rPr>
          <w:rFonts w:hint="eastAsia" w:ascii="仿宋_GB2312" w:hAnsi="仿宋_GB2312" w:eastAsia="仿宋_GB2312" w:cs="仿宋_GB2312"/>
          <w:sz w:val="24"/>
          <w:highlight w:val="none"/>
        </w:rPr>
        <w:sym w:font="Wingdings" w:char="00FE"/>
      </w:r>
      <w:r>
        <w:rPr>
          <w:rFonts w:hint="eastAsia" w:ascii="仿宋_GB2312" w:hAnsi="仿宋_GB2312" w:eastAsia="仿宋_GB2312" w:cs="仿宋_GB2312"/>
          <w:sz w:val="24"/>
          <w:highlight w:val="none"/>
        </w:rPr>
        <w:t>否</w:t>
      </w:r>
    </w:p>
    <w:p w14:paraId="3344BCE0">
      <w:pPr>
        <w:numPr>
          <w:ilvl w:val="255"/>
          <w:numId w:val="0"/>
        </w:numPr>
        <w:tabs>
          <w:tab w:val="left" w:pos="740"/>
        </w:tabs>
        <w:adjustRightInd w:val="0"/>
        <w:snapToGrid w:val="0"/>
        <w:spacing w:line="360" w:lineRule="exact"/>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 xml:space="preserve">     是否涉及环境标志产品：</w:t>
      </w:r>
    </w:p>
    <w:p w14:paraId="20AEF910">
      <w:pPr>
        <w:numPr>
          <w:ilvl w:val="255"/>
          <w:numId w:val="0"/>
        </w:numPr>
        <w:tabs>
          <w:tab w:val="left" w:pos="740"/>
        </w:tabs>
        <w:adjustRightInd w:val="0"/>
        <w:snapToGrid w:val="0"/>
        <w:spacing w:line="360" w:lineRule="exact"/>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 xml:space="preserve">     </w:t>
      </w:r>
      <w:r>
        <w:rPr>
          <w:rFonts w:hint="eastAsia" w:ascii="仿宋_GB2312" w:hAnsi="仿宋_GB2312" w:eastAsia="仿宋_GB2312" w:cs="仿宋_GB2312"/>
          <w:sz w:val="24"/>
          <w:highlight w:val="none"/>
        </w:rPr>
        <w:sym w:font="Wingdings" w:char="00A8"/>
      </w:r>
      <w:r>
        <w:rPr>
          <w:rFonts w:hint="eastAsia" w:ascii="仿宋_GB2312" w:hAnsi="仿宋_GB2312" w:eastAsia="仿宋_GB2312" w:cs="仿宋_GB2312"/>
          <w:sz w:val="24"/>
          <w:highlight w:val="none"/>
        </w:rPr>
        <w:t>是，《环境标志产品政府采购品目清单》的底级品目名称：</w:t>
      </w:r>
      <w:r>
        <w:rPr>
          <w:rFonts w:hint="eastAsia" w:ascii="仿宋_GB2312" w:hAnsi="仿宋_GB2312" w:eastAsia="仿宋_GB2312" w:cs="仿宋_GB2312"/>
          <w:sz w:val="24"/>
          <w:highlight w:val="none"/>
          <w:u w:val="single"/>
        </w:rPr>
        <w:t xml:space="preserve">         </w:t>
      </w:r>
      <w:r>
        <w:rPr>
          <w:rFonts w:hint="eastAsia" w:ascii="仿宋_GB2312" w:hAnsi="仿宋_GB2312" w:eastAsia="仿宋_GB2312" w:cs="仿宋_GB2312"/>
          <w:iCs/>
          <w:sz w:val="24"/>
          <w:highlight w:val="none"/>
        </w:rPr>
        <w:t xml:space="preserve"> </w:t>
      </w:r>
    </w:p>
    <w:p w14:paraId="4B2496F2">
      <w:pPr>
        <w:numPr>
          <w:ilvl w:val="255"/>
          <w:numId w:val="0"/>
        </w:numPr>
        <w:tabs>
          <w:tab w:val="left" w:pos="740"/>
        </w:tabs>
        <w:adjustRightInd w:val="0"/>
        <w:snapToGrid w:val="0"/>
        <w:spacing w:line="360" w:lineRule="exact"/>
        <w:rPr>
          <w:rFonts w:ascii="仿宋_GB2312" w:hAnsi="仿宋_GB2312" w:eastAsia="仿宋_GB2312" w:cs="仿宋_GB2312"/>
          <w:iCs/>
          <w:sz w:val="24"/>
          <w:highlight w:val="none"/>
        </w:rPr>
      </w:pPr>
      <w:r>
        <w:rPr>
          <w:rFonts w:hint="eastAsia" w:ascii="仿宋_GB2312" w:hAnsi="仿宋_GB2312" w:eastAsia="仿宋_GB2312" w:cs="仿宋_GB2312"/>
          <w:iCs/>
          <w:sz w:val="24"/>
          <w:highlight w:val="none"/>
        </w:rPr>
        <w:t xml:space="preserve">                </w:t>
      </w:r>
      <w:r>
        <w:rPr>
          <w:rFonts w:hint="eastAsia" w:ascii="仿宋_GB2312" w:hAnsi="仿宋_GB2312" w:eastAsia="仿宋_GB2312" w:cs="仿宋_GB2312"/>
          <w:iCs/>
          <w:sz w:val="24"/>
          <w:highlight w:val="none"/>
        </w:rPr>
        <w:sym w:font="Wingdings" w:char="00A8"/>
      </w:r>
      <w:r>
        <w:rPr>
          <w:rFonts w:hint="eastAsia" w:ascii="仿宋_GB2312" w:hAnsi="仿宋_GB2312" w:eastAsia="仿宋_GB2312" w:cs="仿宋_GB2312"/>
          <w:iCs/>
          <w:sz w:val="24"/>
          <w:highlight w:val="none"/>
        </w:rPr>
        <w:t xml:space="preserve">强制采购       </w:t>
      </w:r>
      <w:r>
        <w:rPr>
          <w:rFonts w:hint="eastAsia" w:ascii="仿宋_GB2312" w:hAnsi="仿宋_GB2312" w:eastAsia="仿宋_GB2312" w:cs="仿宋_GB2312"/>
          <w:iCs/>
          <w:sz w:val="24"/>
          <w:highlight w:val="none"/>
        </w:rPr>
        <w:sym w:font="Wingdings" w:char="00A8"/>
      </w:r>
      <w:r>
        <w:rPr>
          <w:rFonts w:hint="eastAsia" w:ascii="仿宋_GB2312" w:hAnsi="仿宋_GB2312" w:eastAsia="仿宋_GB2312" w:cs="仿宋_GB2312"/>
          <w:iCs/>
          <w:sz w:val="24"/>
          <w:highlight w:val="none"/>
        </w:rPr>
        <w:t xml:space="preserve">优先采购    </w:t>
      </w:r>
    </w:p>
    <w:p w14:paraId="59DD5835">
      <w:pPr>
        <w:numPr>
          <w:ilvl w:val="255"/>
          <w:numId w:val="0"/>
        </w:numPr>
        <w:tabs>
          <w:tab w:val="left" w:pos="740"/>
        </w:tabs>
        <w:adjustRightInd w:val="0"/>
        <w:snapToGrid w:val="0"/>
        <w:spacing w:line="360" w:lineRule="exact"/>
        <w:rPr>
          <w:rFonts w:ascii="仿宋_GB2312" w:hAnsi="仿宋_GB2312" w:eastAsia="仿宋_GB2312" w:cs="仿宋_GB2312"/>
          <w:sz w:val="24"/>
          <w:highlight w:val="none"/>
        </w:rPr>
      </w:pPr>
      <w:r>
        <w:rPr>
          <w:rFonts w:hint="eastAsia" w:ascii="仿宋_GB2312" w:hAnsi="仿宋_GB2312" w:eastAsia="仿宋_GB2312" w:cs="仿宋_GB2312"/>
          <w:iCs/>
          <w:sz w:val="24"/>
          <w:highlight w:val="none"/>
        </w:rPr>
        <w:t xml:space="preserve">     </w:t>
      </w:r>
      <w:r>
        <w:rPr>
          <w:rFonts w:hint="eastAsia" w:ascii="仿宋_GB2312" w:hAnsi="仿宋_GB2312" w:eastAsia="仿宋_GB2312" w:cs="仿宋_GB2312"/>
          <w:sz w:val="24"/>
          <w:highlight w:val="none"/>
        </w:rPr>
        <w:sym w:font="Wingdings" w:char="00FE"/>
      </w:r>
      <w:r>
        <w:rPr>
          <w:rFonts w:hint="eastAsia" w:ascii="仿宋_GB2312" w:hAnsi="仿宋_GB2312" w:eastAsia="仿宋_GB2312" w:cs="仿宋_GB2312"/>
          <w:sz w:val="24"/>
          <w:highlight w:val="none"/>
        </w:rPr>
        <w:t>否</w:t>
      </w:r>
    </w:p>
    <w:p w14:paraId="6B4B5724">
      <w:pPr>
        <w:pStyle w:val="21"/>
        <w:numPr>
          <w:ilvl w:val="255"/>
          <w:numId w:val="0"/>
        </w:numPr>
        <w:snapToGrid w:val="0"/>
        <w:spacing w:line="360" w:lineRule="exact"/>
        <w:rPr>
          <w:rFonts w:ascii="仿宋_GB2312" w:hAnsi="仿宋_GB2312" w:eastAsia="仿宋_GB2312" w:cs="仿宋_GB2312"/>
          <w:kern w:val="2"/>
          <w:sz w:val="24"/>
          <w:szCs w:val="24"/>
          <w:highlight w:val="none"/>
        </w:rPr>
      </w:pPr>
      <w:r>
        <w:rPr>
          <w:rFonts w:hint="eastAsia" w:ascii="仿宋_GB2312" w:hAnsi="仿宋_GB2312" w:eastAsia="仿宋_GB2312" w:cs="仿宋_GB2312"/>
          <w:sz w:val="24"/>
          <w:szCs w:val="24"/>
          <w:highlight w:val="none"/>
        </w:rPr>
        <w:t xml:space="preserve">     </w:t>
      </w:r>
      <w:r>
        <w:rPr>
          <w:rFonts w:hint="eastAsia" w:ascii="仿宋_GB2312" w:hAnsi="仿宋_GB2312" w:eastAsia="仿宋_GB2312" w:cs="仿宋_GB2312"/>
          <w:kern w:val="2"/>
          <w:sz w:val="24"/>
          <w:szCs w:val="24"/>
          <w:highlight w:val="none"/>
        </w:rPr>
        <w:t xml:space="preserve">是否涉及绿色产品： </w:t>
      </w:r>
    </w:p>
    <w:p w14:paraId="5B55A718">
      <w:pPr>
        <w:pStyle w:val="21"/>
        <w:spacing w:line="360" w:lineRule="exact"/>
        <w:ind w:firstLine="420" w:firstLineChars="0"/>
        <w:rPr>
          <w:rFonts w:ascii="仿宋_GB2312" w:hAnsi="仿宋_GB2312" w:eastAsia="仿宋_GB2312" w:cs="仿宋_GB2312"/>
          <w:sz w:val="24"/>
          <w:szCs w:val="24"/>
          <w:highlight w:val="none"/>
          <w:u w:val="single"/>
        </w:rPr>
      </w:pPr>
      <w:r>
        <w:rPr>
          <w:rFonts w:hint="eastAsia" w:ascii="仿宋_GB2312" w:hAnsi="仿宋_GB2312" w:eastAsia="仿宋_GB2312" w:cs="仿宋_GB2312"/>
          <w:kern w:val="2"/>
          <w:sz w:val="24"/>
          <w:szCs w:val="24"/>
          <w:highlight w:val="none"/>
        </w:rPr>
        <w:t xml:space="preserve">  </w:t>
      </w:r>
      <w:r>
        <w:rPr>
          <w:rFonts w:hint="eastAsia" w:ascii="仿宋_GB2312" w:hAnsi="仿宋_GB2312" w:eastAsia="仿宋_GB2312" w:cs="仿宋_GB2312"/>
          <w:kern w:val="2"/>
          <w:sz w:val="24"/>
          <w:szCs w:val="24"/>
          <w:highlight w:val="none"/>
        </w:rPr>
        <w:sym w:font="Wingdings" w:char="00A8"/>
      </w:r>
      <w:r>
        <w:rPr>
          <w:rFonts w:hint="eastAsia" w:ascii="仿宋_GB2312" w:hAnsi="仿宋_GB2312" w:eastAsia="仿宋_GB2312" w:cs="仿宋_GB2312"/>
          <w:kern w:val="2"/>
          <w:sz w:val="24"/>
          <w:szCs w:val="24"/>
          <w:highlight w:val="none"/>
        </w:rPr>
        <w:t>是，绿色产品政府采购相关政策确定的底级品目名称：</w:t>
      </w:r>
      <w:r>
        <w:rPr>
          <w:rFonts w:hint="eastAsia" w:ascii="仿宋_GB2312" w:hAnsi="仿宋_GB2312" w:eastAsia="仿宋_GB2312" w:cs="仿宋_GB2312"/>
          <w:sz w:val="24"/>
          <w:szCs w:val="24"/>
          <w:highlight w:val="none"/>
          <w:u w:val="single"/>
        </w:rPr>
        <w:t xml:space="preserve">         </w:t>
      </w:r>
    </w:p>
    <w:p w14:paraId="1E105E5B">
      <w:pPr>
        <w:numPr>
          <w:ilvl w:val="255"/>
          <w:numId w:val="0"/>
        </w:numPr>
        <w:tabs>
          <w:tab w:val="left" w:pos="740"/>
        </w:tabs>
        <w:adjustRightInd w:val="0"/>
        <w:snapToGrid w:val="0"/>
        <w:spacing w:line="360" w:lineRule="exact"/>
        <w:rPr>
          <w:rFonts w:ascii="仿宋_GB2312" w:hAnsi="仿宋_GB2312" w:eastAsia="仿宋_GB2312" w:cs="仿宋_GB2312"/>
          <w:iCs/>
          <w:sz w:val="24"/>
          <w:highlight w:val="none"/>
        </w:rPr>
      </w:pPr>
      <w:r>
        <w:rPr>
          <w:rFonts w:hint="eastAsia" w:ascii="仿宋_GB2312" w:hAnsi="仿宋_GB2312" w:eastAsia="仿宋_GB2312" w:cs="仿宋_GB2312"/>
          <w:iCs/>
          <w:sz w:val="24"/>
          <w:highlight w:val="none"/>
        </w:rPr>
        <w:t xml:space="preserve">                </w:t>
      </w:r>
      <w:r>
        <w:rPr>
          <w:rFonts w:hint="eastAsia" w:ascii="仿宋_GB2312" w:hAnsi="仿宋_GB2312" w:eastAsia="仿宋_GB2312" w:cs="仿宋_GB2312"/>
          <w:iCs/>
          <w:sz w:val="24"/>
          <w:highlight w:val="none"/>
        </w:rPr>
        <w:sym w:font="Wingdings" w:char="00A8"/>
      </w:r>
      <w:r>
        <w:rPr>
          <w:rFonts w:hint="eastAsia" w:ascii="仿宋_GB2312" w:hAnsi="仿宋_GB2312" w:eastAsia="仿宋_GB2312" w:cs="仿宋_GB2312"/>
          <w:iCs/>
          <w:sz w:val="24"/>
          <w:highlight w:val="none"/>
        </w:rPr>
        <w:t xml:space="preserve">强制采购       </w:t>
      </w:r>
      <w:r>
        <w:rPr>
          <w:rFonts w:hint="eastAsia" w:ascii="仿宋_GB2312" w:hAnsi="仿宋_GB2312" w:eastAsia="仿宋_GB2312" w:cs="仿宋_GB2312"/>
          <w:iCs/>
          <w:sz w:val="24"/>
          <w:highlight w:val="none"/>
        </w:rPr>
        <w:sym w:font="Wingdings" w:char="00A8"/>
      </w:r>
      <w:r>
        <w:rPr>
          <w:rFonts w:hint="eastAsia" w:ascii="仿宋_GB2312" w:hAnsi="仿宋_GB2312" w:eastAsia="仿宋_GB2312" w:cs="仿宋_GB2312"/>
          <w:iCs/>
          <w:sz w:val="24"/>
          <w:highlight w:val="none"/>
        </w:rPr>
        <w:t xml:space="preserve">优先采购    </w:t>
      </w:r>
    </w:p>
    <w:p w14:paraId="4C3CDAC7">
      <w:pPr>
        <w:pStyle w:val="21"/>
        <w:spacing w:line="360" w:lineRule="exact"/>
        <w:ind w:firstLine="420" w:firstLineChars="0"/>
        <w:rPr>
          <w:rFonts w:ascii="仿宋_GB2312" w:hAnsi="仿宋_GB2312" w:eastAsia="仿宋_GB2312" w:cs="仿宋_GB2312"/>
          <w:sz w:val="24"/>
          <w:szCs w:val="24"/>
          <w:highlight w:val="none"/>
        </w:rPr>
      </w:pPr>
      <w:r>
        <w:rPr>
          <w:rFonts w:hint="eastAsia" w:ascii="仿宋_GB2312" w:hAnsi="仿宋_GB2312" w:eastAsia="仿宋_GB2312" w:cs="仿宋_GB2312"/>
          <w:kern w:val="2"/>
          <w:sz w:val="24"/>
          <w:szCs w:val="24"/>
          <w:highlight w:val="none"/>
        </w:rPr>
        <w:t xml:space="preserve">  </w:t>
      </w:r>
      <w:r>
        <w:rPr>
          <w:rFonts w:hint="eastAsia" w:ascii="仿宋_GB2312" w:hAnsi="仿宋_GB2312" w:eastAsia="仿宋_GB2312" w:cs="仿宋_GB2312"/>
          <w:kern w:val="2"/>
          <w:sz w:val="24"/>
          <w:szCs w:val="24"/>
          <w:highlight w:val="none"/>
        </w:rPr>
        <w:sym w:font="Wingdings" w:char="00FE"/>
      </w:r>
      <w:r>
        <w:rPr>
          <w:rFonts w:hint="eastAsia" w:ascii="仿宋_GB2312" w:hAnsi="仿宋_GB2312" w:eastAsia="仿宋_GB2312" w:cs="仿宋_GB2312"/>
          <w:kern w:val="2"/>
          <w:sz w:val="24"/>
          <w:szCs w:val="24"/>
          <w:highlight w:val="none"/>
        </w:rPr>
        <w:t>否</w:t>
      </w:r>
    </w:p>
    <w:p w14:paraId="1D692720">
      <w:pPr>
        <w:numPr>
          <w:ilvl w:val="255"/>
          <w:numId w:val="0"/>
        </w:numPr>
        <w:adjustRightInd w:val="0"/>
        <w:snapToGrid w:val="0"/>
        <w:spacing w:line="360" w:lineRule="exact"/>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 xml:space="preserve">    （1</w:t>
      </w:r>
      <w:r>
        <w:rPr>
          <w:rFonts w:hint="eastAsia" w:ascii="仿宋_GB2312" w:hAnsi="仿宋_GB2312" w:eastAsia="仿宋_GB2312" w:cs="仿宋_GB2312"/>
          <w:sz w:val="24"/>
          <w:highlight w:val="none"/>
          <w:lang w:val="en"/>
        </w:rPr>
        <w:t>1</w:t>
      </w:r>
      <w:r>
        <w:rPr>
          <w:rFonts w:hint="eastAsia" w:ascii="仿宋_GB2312" w:hAnsi="仿宋_GB2312" w:eastAsia="仿宋_GB2312" w:cs="仿宋_GB2312"/>
          <w:sz w:val="24"/>
          <w:highlight w:val="none"/>
        </w:rPr>
        <w:t>）涉及商品包装和快递包装的，是否参考《商品包装政府采购需求标准（试行）</w:t>
      </w:r>
      <w:r>
        <w:rPr>
          <w:rFonts w:hint="eastAsia" w:ascii="仿宋_GB2312" w:hAnsi="仿宋_GB2312" w:eastAsia="仿宋_GB2312" w:cs="仿宋_GB2312"/>
          <w:sz w:val="24"/>
          <w:highlight w:val="none"/>
          <w:lang w:eastAsia="zh-CN"/>
        </w:rPr>
        <w:t>》《</w:t>
      </w:r>
      <w:r>
        <w:rPr>
          <w:rFonts w:hint="eastAsia" w:ascii="仿宋_GB2312" w:hAnsi="仿宋_GB2312" w:eastAsia="仿宋_GB2312" w:cs="仿宋_GB2312"/>
          <w:sz w:val="24"/>
          <w:highlight w:val="none"/>
        </w:rPr>
        <w:t>快递包装政府采购需求标准（试行）》明确产品及相关快递服务的具体包装要求：</w:t>
      </w:r>
    </w:p>
    <w:p w14:paraId="6717F609">
      <w:pPr>
        <w:numPr>
          <w:ilvl w:val="255"/>
          <w:numId w:val="0"/>
        </w:numPr>
        <w:adjustRightInd w:val="0"/>
        <w:snapToGrid w:val="0"/>
        <w:spacing w:line="360" w:lineRule="exact"/>
        <w:ind w:firstLine="480" w:firstLineChars="200"/>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sym w:font="Wingdings" w:char="00FE"/>
      </w:r>
      <w:r>
        <w:rPr>
          <w:rFonts w:hint="eastAsia" w:ascii="仿宋_GB2312" w:hAnsi="仿宋_GB2312" w:eastAsia="仿宋_GB2312" w:cs="仿宋_GB2312"/>
          <w:sz w:val="24"/>
          <w:highlight w:val="none"/>
        </w:rPr>
        <w:t xml:space="preserve">是       </w:t>
      </w:r>
      <w:r>
        <w:rPr>
          <w:rFonts w:hint="eastAsia" w:ascii="仿宋_GB2312" w:hAnsi="仿宋_GB2312" w:eastAsia="仿宋_GB2312" w:cs="仿宋_GB2312"/>
          <w:sz w:val="24"/>
          <w:highlight w:val="none"/>
        </w:rPr>
        <w:sym w:font="Wingdings" w:char="00A8"/>
      </w:r>
      <w:r>
        <w:rPr>
          <w:rFonts w:hint="eastAsia" w:ascii="仿宋_GB2312" w:hAnsi="仿宋_GB2312" w:eastAsia="仿宋_GB2312" w:cs="仿宋_GB2312"/>
          <w:sz w:val="24"/>
          <w:highlight w:val="none"/>
        </w:rPr>
        <w:t xml:space="preserve">否      </w:t>
      </w:r>
      <w:r>
        <w:rPr>
          <w:rFonts w:hint="eastAsia" w:ascii="仿宋_GB2312" w:hAnsi="仿宋_GB2312" w:eastAsia="仿宋_GB2312" w:cs="仿宋_GB2312"/>
          <w:sz w:val="24"/>
          <w:highlight w:val="none"/>
        </w:rPr>
        <w:sym w:font="Wingdings" w:char="00A8"/>
      </w:r>
      <w:r>
        <w:rPr>
          <w:rFonts w:hint="eastAsia" w:ascii="仿宋_GB2312" w:hAnsi="仿宋_GB2312" w:eastAsia="仿宋_GB2312" w:cs="仿宋_GB2312"/>
          <w:sz w:val="24"/>
          <w:highlight w:val="none"/>
        </w:rPr>
        <w:t>不涉及</w:t>
      </w:r>
    </w:p>
    <w:p w14:paraId="52CB99CC">
      <w:pPr>
        <w:numPr>
          <w:ilvl w:val="0"/>
          <w:numId w:val="0"/>
        </w:numPr>
        <w:adjustRightInd w:val="0"/>
        <w:snapToGrid w:val="0"/>
        <w:spacing w:line="360" w:lineRule="exact"/>
        <w:ind w:firstLine="482" w:firstLineChars="200"/>
        <w:rPr>
          <w:rFonts w:ascii="仿宋_GB2312" w:hAnsi="仿宋_GB2312" w:eastAsia="仿宋_GB2312" w:cs="仿宋_GB2312"/>
          <w:b/>
          <w:sz w:val="24"/>
          <w:highlight w:val="none"/>
        </w:rPr>
      </w:pPr>
      <w:r>
        <w:rPr>
          <w:rFonts w:ascii="仿宋_GB2312" w:hAnsi="仿宋_GB2312" w:eastAsia="仿宋_GB2312" w:cs="仿宋_GB2312"/>
          <w:b/>
          <w:kern w:val="2"/>
          <w:sz w:val="24"/>
          <w:highlight w:val="none"/>
          <w:lang w:val="en-US" w:eastAsia="zh-CN" w:bidi="ar-SA"/>
        </w:rPr>
        <w:t>2.</w:t>
      </w:r>
      <w:r>
        <w:rPr>
          <w:rFonts w:hint="eastAsia" w:ascii="仿宋_GB2312" w:hAnsi="仿宋_GB2312" w:eastAsia="仿宋_GB2312" w:cs="仿宋_GB2312"/>
          <w:b/>
          <w:sz w:val="24"/>
          <w:highlight w:val="none"/>
        </w:rPr>
        <w:t>合同金额</w:t>
      </w:r>
    </w:p>
    <w:p w14:paraId="1856D3A6">
      <w:pPr>
        <w:adjustRightInd w:val="0"/>
        <w:snapToGrid w:val="0"/>
        <w:spacing w:line="360" w:lineRule="exact"/>
        <w:ind w:firstLine="480" w:firstLineChars="200"/>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（1）合同金额小写：</w:t>
      </w:r>
      <w:r>
        <w:rPr>
          <w:rFonts w:hint="eastAsia" w:ascii="仿宋_GB2312" w:hAnsi="仿宋_GB2312" w:eastAsia="仿宋_GB2312" w:cs="仿宋_GB2312"/>
          <w:sz w:val="24"/>
          <w:highlight w:val="none"/>
          <w:u w:val="single"/>
        </w:rPr>
        <w:t xml:space="preserve"> ¥                                      </w:t>
      </w:r>
    </w:p>
    <w:p w14:paraId="18C38576">
      <w:pPr>
        <w:widowControl/>
        <w:spacing w:line="360" w:lineRule="exact"/>
        <w:jc w:val="left"/>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 xml:space="preserve">                 大写：</w:t>
      </w:r>
      <w:r>
        <w:rPr>
          <w:rFonts w:hint="eastAsia" w:ascii="仿宋_GB2312" w:hAnsi="仿宋_GB2312" w:eastAsia="仿宋_GB2312" w:cs="仿宋_GB2312"/>
          <w:sz w:val="24"/>
          <w:highlight w:val="none"/>
          <w:u w:val="single"/>
        </w:rPr>
        <w:t xml:space="preserve">人民币                                  </w:t>
      </w:r>
    </w:p>
    <w:p w14:paraId="73416320">
      <w:pPr>
        <w:numPr>
          <w:ilvl w:val="255"/>
          <w:numId w:val="0"/>
        </w:numPr>
        <w:adjustRightInd w:val="0"/>
        <w:snapToGrid w:val="0"/>
        <w:spacing w:line="360" w:lineRule="exact"/>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 xml:space="preserve">    （2）合同定价方式（采用组合定价方式的，可以勾选多项）：</w:t>
      </w:r>
    </w:p>
    <w:p w14:paraId="0F5ACF9C">
      <w:pPr>
        <w:adjustRightInd w:val="0"/>
        <w:snapToGrid w:val="0"/>
        <w:spacing w:line="360" w:lineRule="exact"/>
        <w:ind w:firstLine="480" w:firstLineChars="200"/>
        <w:rPr>
          <w:rFonts w:ascii="仿宋_GB2312" w:hAnsi="仿宋_GB2312" w:eastAsia="仿宋_GB2312" w:cs="仿宋_GB2312"/>
          <w:sz w:val="24"/>
          <w:highlight w:val="none"/>
        </w:rPr>
      </w:pPr>
      <w:r>
        <w:rPr>
          <w:rFonts w:hint="eastAsia" w:ascii="仿宋_GB2312" w:hAnsi="仿宋_GB2312" w:eastAsia="仿宋_GB2312" w:cs="仿宋_GB2312"/>
          <w:iCs/>
          <w:sz w:val="24"/>
          <w:highlight w:val="none"/>
        </w:rPr>
        <w:t xml:space="preserve">  </w:t>
      </w:r>
      <w:r>
        <w:rPr>
          <w:rFonts w:hint="eastAsia" w:ascii="仿宋_GB2312" w:hAnsi="仿宋_GB2312" w:eastAsia="仿宋_GB2312" w:cs="仿宋_GB2312"/>
          <w:iCs/>
          <w:sz w:val="24"/>
          <w:highlight w:val="none"/>
        </w:rPr>
        <w:sym w:font="Wingdings" w:char="00A8"/>
      </w:r>
      <w:r>
        <w:rPr>
          <w:rFonts w:hint="eastAsia" w:ascii="仿宋_GB2312" w:hAnsi="仿宋_GB2312" w:eastAsia="仿宋_GB2312" w:cs="仿宋_GB2312"/>
          <w:iCs/>
          <w:sz w:val="24"/>
          <w:highlight w:val="none"/>
        </w:rPr>
        <w:t xml:space="preserve">固定总价 </w:t>
      </w:r>
      <w:r>
        <w:rPr>
          <w:rFonts w:hint="eastAsia" w:ascii="仿宋_GB2312" w:hAnsi="仿宋_GB2312" w:eastAsia="仿宋_GB2312" w:cs="仿宋_GB2312"/>
          <w:iCs/>
          <w:sz w:val="24"/>
          <w:highlight w:val="none"/>
        </w:rPr>
        <w:sym w:font="Wingdings" w:char="00FE"/>
      </w:r>
      <w:r>
        <w:rPr>
          <w:rFonts w:hint="eastAsia" w:ascii="仿宋_GB2312" w:hAnsi="仿宋_GB2312" w:eastAsia="仿宋_GB2312" w:cs="仿宋_GB2312"/>
          <w:iCs/>
          <w:sz w:val="24"/>
          <w:highlight w:val="none"/>
        </w:rPr>
        <w:t xml:space="preserve">固定单价 </w:t>
      </w:r>
      <w:r>
        <w:rPr>
          <w:rFonts w:hint="eastAsia" w:ascii="仿宋_GB2312" w:hAnsi="仿宋_GB2312" w:eastAsia="仿宋_GB2312" w:cs="仿宋_GB2312"/>
          <w:iCs/>
          <w:sz w:val="24"/>
          <w:highlight w:val="none"/>
        </w:rPr>
        <w:sym w:font="Wingdings" w:char="00A8"/>
      </w:r>
      <w:r>
        <w:rPr>
          <w:rFonts w:hint="eastAsia" w:ascii="仿宋_GB2312" w:hAnsi="仿宋_GB2312" w:eastAsia="仿宋_GB2312" w:cs="仿宋_GB2312"/>
          <w:iCs/>
          <w:sz w:val="24"/>
          <w:highlight w:val="none"/>
        </w:rPr>
        <w:t xml:space="preserve">固定费率 </w:t>
      </w:r>
      <w:r>
        <w:rPr>
          <w:rFonts w:hint="eastAsia" w:ascii="仿宋_GB2312" w:hAnsi="仿宋_GB2312" w:eastAsia="仿宋_GB2312" w:cs="仿宋_GB2312"/>
          <w:iCs/>
          <w:sz w:val="24"/>
          <w:highlight w:val="none"/>
        </w:rPr>
        <w:sym w:font="Wingdings" w:char="00A8"/>
      </w:r>
      <w:r>
        <w:rPr>
          <w:rFonts w:hint="eastAsia" w:ascii="仿宋_GB2312" w:hAnsi="仿宋_GB2312" w:eastAsia="仿宋_GB2312" w:cs="仿宋_GB2312"/>
          <w:iCs/>
          <w:sz w:val="24"/>
          <w:highlight w:val="none"/>
        </w:rPr>
        <w:t xml:space="preserve">成本补偿 </w:t>
      </w:r>
      <w:r>
        <w:rPr>
          <w:rFonts w:hint="eastAsia" w:ascii="仿宋_GB2312" w:hAnsi="仿宋_GB2312" w:eastAsia="仿宋_GB2312" w:cs="仿宋_GB2312"/>
          <w:iCs/>
          <w:sz w:val="24"/>
          <w:highlight w:val="none"/>
        </w:rPr>
        <w:sym w:font="Wingdings" w:char="00A8"/>
      </w:r>
      <w:r>
        <w:rPr>
          <w:rFonts w:hint="eastAsia" w:ascii="仿宋_GB2312" w:hAnsi="仿宋_GB2312" w:eastAsia="仿宋_GB2312" w:cs="仿宋_GB2312"/>
          <w:iCs/>
          <w:sz w:val="24"/>
          <w:highlight w:val="none"/>
        </w:rPr>
        <w:t xml:space="preserve">绩效激励 </w:t>
      </w:r>
      <w:r>
        <w:rPr>
          <w:rFonts w:hint="eastAsia" w:ascii="仿宋_GB2312" w:hAnsi="仿宋_GB2312" w:eastAsia="仿宋_GB2312" w:cs="仿宋_GB2312"/>
          <w:iCs/>
          <w:sz w:val="24"/>
          <w:highlight w:val="none"/>
        </w:rPr>
        <w:sym w:font="Wingdings" w:char="00A8"/>
      </w:r>
      <w:r>
        <w:rPr>
          <w:rFonts w:hint="eastAsia" w:ascii="仿宋_GB2312" w:hAnsi="仿宋_GB2312" w:eastAsia="仿宋_GB2312" w:cs="仿宋_GB2312"/>
          <w:iCs/>
          <w:sz w:val="24"/>
          <w:highlight w:val="none"/>
        </w:rPr>
        <w:t>其他</w:t>
      </w:r>
      <w:r>
        <w:rPr>
          <w:rFonts w:hint="eastAsia" w:ascii="仿宋_GB2312" w:hAnsi="仿宋_GB2312" w:eastAsia="仿宋_GB2312" w:cs="仿宋_GB2312"/>
          <w:sz w:val="24"/>
          <w:highlight w:val="none"/>
          <w:u w:val="single"/>
        </w:rPr>
        <w:t xml:space="preserve">       </w:t>
      </w:r>
    </w:p>
    <w:p w14:paraId="763AFBCC">
      <w:pPr>
        <w:pStyle w:val="22"/>
        <w:spacing w:line="360" w:lineRule="exact"/>
        <w:ind w:firstLine="480"/>
        <w:rPr>
          <w:rFonts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（3）付款方式（按项目实际勾选填写）：</w:t>
      </w:r>
    </w:p>
    <w:p w14:paraId="2B88CF0F">
      <w:pPr>
        <w:adjustRightInd w:val="0"/>
        <w:snapToGrid w:val="0"/>
        <w:spacing w:line="360" w:lineRule="exact"/>
        <w:ind w:firstLine="720" w:firstLineChars="300"/>
        <w:rPr>
          <w:rFonts w:hint="eastAsia" w:ascii="仿宋_GB2312" w:hAnsi="仿宋_GB2312" w:eastAsia="仿宋_GB2312" w:cs="仿宋_GB2312"/>
          <w:bCs/>
          <w:sz w:val="24"/>
          <w:highlight w:val="none"/>
          <w:u w:val="single"/>
          <w:lang w:val="en-US" w:eastAsia="zh-CN"/>
        </w:rPr>
      </w:pPr>
      <w:r>
        <w:rPr>
          <w:rFonts w:hint="eastAsia" w:ascii="仿宋_GB2312" w:hAnsi="仿宋_GB2312" w:eastAsia="仿宋_GB2312" w:cs="仿宋_GB2312"/>
          <w:sz w:val="24"/>
          <w:highlight w:val="none"/>
        </w:rPr>
        <w:sym w:font="Wingdings" w:char="00A8"/>
      </w:r>
      <w:r>
        <w:rPr>
          <w:rFonts w:hint="eastAsia" w:ascii="仿宋_GB2312" w:hAnsi="仿宋_GB2312" w:eastAsia="仿宋_GB2312" w:cs="仿宋_GB2312"/>
          <w:sz w:val="24"/>
          <w:highlight w:val="none"/>
        </w:rPr>
        <w:t>全额付款：</w:t>
      </w:r>
      <w:r>
        <w:rPr>
          <w:rFonts w:hint="eastAsia" w:ascii="仿宋_GB2312" w:hAnsi="仿宋_GB2312" w:eastAsia="仿宋_GB2312" w:cs="仿宋_GB2312"/>
          <w:bCs/>
          <w:sz w:val="24"/>
          <w:highlight w:val="none"/>
          <w:u w:val="single"/>
        </w:rPr>
        <w:t xml:space="preserve"> </w:t>
      </w:r>
      <w:r>
        <w:rPr>
          <w:rFonts w:hint="eastAsia" w:ascii="仿宋_GB2312" w:hAnsi="仿宋_GB2312" w:eastAsia="仿宋_GB2312" w:cs="仿宋_GB2312"/>
          <w:bCs/>
          <w:sz w:val="24"/>
          <w:highlight w:val="none"/>
          <w:u w:val="single"/>
          <w:lang w:val="en-US" w:eastAsia="zh-CN"/>
        </w:rPr>
        <w:t xml:space="preserve">             </w:t>
      </w:r>
    </w:p>
    <w:p w14:paraId="1BBF0CCB">
      <w:pPr>
        <w:adjustRightInd w:val="0"/>
        <w:snapToGrid w:val="0"/>
        <w:spacing w:line="360" w:lineRule="exact"/>
        <w:ind w:firstLine="720" w:firstLineChars="300"/>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sym w:font="Wingdings" w:char="00FE"/>
      </w:r>
      <w:r>
        <w:rPr>
          <w:rFonts w:hint="eastAsia" w:ascii="仿宋_GB2312" w:hAnsi="仿宋_GB2312" w:eastAsia="仿宋_GB2312" w:cs="仿宋_GB2312"/>
          <w:sz w:val="24"/>
          <w:highlight w:val="none"/>
        </w:rPr>
        <w:t>分期付款：</w:t>
      </w:r>
      <w:r>
        <w:rPr>
          <w:rFonts w:hint="eastAsia" w:ascii="仿宋_GB2312" w:hAnsi="仿宋_GB2312" w:eastAsia="仿宋_GB2312" w:cs="仿宋_GB2312"/>
          <w:sz w:val="24"/>
          <w:highlight w:val="none"/>
          <w:u w:val="single"/>
        </w:rPr>
        <w:t xml:space="preserve"> </w:t>
      </w:r>
      <w:r>
        <w:rPr>
          <w:rFonts w:hint="eastAsia" w:ascii="仿宋_GB2312" w:hAnsi="仿宋_GB2312" w:eastAsia="仿宋_GB2312" w:cs="仿宋_GB2312"/>
          <w:sz w:val="24"/>
          <w:highlight w:val="none"/>
          <w:u w:val="single"/>
          <w:lang w:val="en-US" w:eastAsia="zh-CN"/>
        </w:rPr>
        <w:t>银行转账。以中标单价为依据，按实际配送量据实结算。中标人将货物送达采购人指定地点，货物验收无质量问题后30日内支付对应批次货款，项目累计结算上限金额为项目预算228.40万元</w:t>
      </w:r>
      <w:r>
        <w:rPr>
          <w:rFonts w:hint="eastAsia" w:ascii="仿宋_GB2312" w:hAnsi="仿宋_GB2312" w:eastAsia="仿宋_GB2312" w:cs="仿宋_GB2312"/>
          <w:sz w:val="24"/>
          <w:highlight w:val="none"/>
        </w:rPr>
        <w:t>，其中涉及预付款的：</w:t>
      </w:r>
      <w:r>
        <w:rPr>
          <w:rFonts w:hint="eastAsia" w:ascii="仿宋_GB2312" w:hAnsi="仿宋_GB2312" w:eastAsia="仿宋_GB2312" w:cs="仿宋_GB2312"/>
          <w:sz w:val="24"/>
          <w:highlight w:val="none"/>
          <w:u w:val="single"/>
        </w:rPr>
        <w:t xml:space="preserve">                           </w:t>
      </w:r>
    </w:p>
    <w:p w14:paraId="1FABB610">
      <w:pPr>
        <w:adjustRightInd w:val="0"/>
        <w:snapToGrid w:val="0"/>
        <w:spacing w:line="360" w:lineRule="exact"/>
        <w:ind w:firstLine="720" w:firstLineChars="300"/>
        <w:rPr>
          <w:rFonts w:ascii="仿宋_GB2312" w:hAnsi="仿宋_GB2312" w:eastAsia="仿宋_GB2312" w:cs="仿宋_GB2312"/>
          <w:sz w:val="24"/>
          <w:highlight w:val="none"/>
          <w:u w:val="single"/>
        </w:rPr>
      </w:pPr>
      <w:r>
        <w:rPr>
          <w:rFonts w:hint="eastAsia" w:ascii="仿宋_GB2312" w:hAnsi="仿宋_GB2312" w:eastAsia="仿宋_GB2312" w:cs="仿宋_GB2312"/>
          <w:sz w:val="24"/>
          <w:highlight w:val="none"/>
        </w:rPr>
        <w:sym w:font="Wingdings" w:char="00A8"/>
      </w:r>
      <w:r>
        <w:rPr>
          <w:rFonts w:hint="eastAsia" w:ascii="仿宋_GB2312" w:hAnsi="仿宋_GB2312" w:eastAsia="仿宋_GB2312" w:cs="仿宋_GB2312"/>
          <w:sz w:val="24"/>
          <w:highlight w:val="none"/>
        </w:rPr>
        <w:t>成本补偿：</w:t>
      </w:r>
      <w:r>
        <w:rPr>
          <w:rFonts w:hint="eastAsia" w:ascii="仿宋_GB2312" w:hAnsi="仿宋_GB2312" w:eastAsia="仿宋_GB2312" w:cs="仿宋_GB2312"/>
          <w:sz w:val="24"/>
          <w:highlight w:val="none"/>
          <w:u w:val="single"/>
        </w:rPr>
        <w:t xml:space="preserve">                                                                     </w:t>
      </w:r>
    </w:p>
    <w:p w14:paraId="50A0C736">
      <w:pPr>
        <w:adjustRightInd w:val="0"/>
        <w:snapToGrid w:val="0"/>
        <w:spacing w:line="360" w:lineRule="exact"/>
        <w:ind w:firstLine="720" w:firstLineChars="300"/>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sym w:font="Wingdings" w:char="00A8"/>
      </w:r>
      <w:r>
        <w:rPr>
          <w:rFonts w:hint="eastAsia" w:ascii="仿宋_GB2312" w:hAnsi="仿宋_GB2312" w:eastAsia="仿宋_GB2312" w:cs="仿宋_GB2312"/>
          <w:sz w:val="24"/>
          <w:highlight w:val="none"/>
        </w:rPr>
        <w:t>绩效激励：</w:t>
      </w:r>
      <w:r>
        <w:rPr>
          <w:rFonts w:hint="eastAsia" w:ascii="仿宋_GB2312" w:hAnsi="仿宋_GB2312" w:eastAsia="仿宋_GB2312" w:cs="仿宋_GB2312"/>
          <w:sz w:val="24"/>
          <w:highlight w:val="none"/>
          <w:u w:val="single"/>
        </w:rPr>
        <w:t xml:space="preserve">                                                                     </w:t>
      </w:r>
    </w:p>
    <w:p w14:paraId="3704A8DE">
      <w:pPr>
        <w:numPr>
          <w:ilvl w:val="0"/>
          <w:numId w:val="0"/>
        </w:numPr>
        <w:adjustRightInd w:val="0"/>
        <w:snapToGrid w:val="0"/>
        <w:spacing w:line="360" w:lineRule="exact"/>
        <w:ind w:firstLine="482" w:firstLineChars="200"/>
        <w:rPr>
          <w:rFonts w:ascii="仿宋_GB2312" w:hAnsi="仿宋_GB2312" w:eastAsia="仿宋_GB2312" w:cs="仿宋_GB2312"/>
          <w:b/>
          <w:sz w:val="24"/>
          <w:highlight w:val="none"/>
          <w:u w:val="single"/>
        </w:rPr>
      </w:pPr>
      <w:r>
        <w:rPr>
          <w:rFonts w:ascii="仿宋_GB2312" w:hAnsi="仿宋_GB2312" w:eastAsia="仿宋_GB2312" w:cs="仿宋_GB2312"/>
          <w:b/>
          <w:kern w:val="2"/>
          <w:sz w:val="24"/>
          <w:highlight w:val="none"/>
          <w:lang w:val="en-US" w:eastAsia="zh-CN" w:bidi="ar-SA"/>
        </w:rPr>
        <w:t>3.</w:t>
      </w:r>
      <w:r>
        <w:rPr>
          <w:rFonts w:hint="eastAsia" w:ascii="仿宋_GB2312" w:hAnsi="仿宋_GB2312" w:eastAsia="仿宋_GB2312" w:cs="仿宋_GB2312"/>
          <w:b/>
          <w:sz w:val="24"/>
          <w:highlight w:val="none"/>
        </w:rPr>
        <w:t>合同履行</w:t>
      </w:r>
    </w:p>
    <w:p w14:paraId="206BFC99">
      <w:pPr>
        <w:adjustRightInd w:val="0"/>
        <w:snapToGrid w:val="0"/>
        <w:spacing w:line="360" w:lineRule="exact"/>
        <w:ind w:firstLine="480" w:firstLineChars="200"/>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（1）起始日期：</w:t>
      </w:r>
      <w:r>
        <w:rPr>
          <w:rFonts w:hint="eastAsia" w:ascii="仿宋_GB2312" w:hAnsi="仿宋_GB2312" w:eastAsia="仿宋_GB2312" w:cs="仿宋_GB2312"/>
          <w:sz w:val="24"/>
          <w:highlight w:val="none"/>
          <w:u w:val="single"/>
          <w:lang w:val="en-US" w:eastAsia="zh-CN"/>
        </w:rPr>
        <w:t>合同签订后至送货，验收合格完毕且用完预算金额为止，合同条款长期有效</w:t>
      </w:r>
      <w:r>
        <w:rPr>
          <w:rFonts w:hint="eastAsia" w:ascii="仿宋_GB2312" w:hAnsi="仿宋_GB2312" w:eastAsia="仿宋_GB2312" w:cs="仿宋_GB2312"/>
          <w:sz w:val="24"/>
          <w:highlight w:val="none"/>
        </w:rPr>
        <w:t>。</w:t>
      </w:r>
    </w:p>
    <w:p w14:paraId="7D4AB80F">
      <w:pPr>
        <w:adjustRightInd w:val="0"/>
        <w:snapToGrid w:val="0"/>
        <w:spacing w:line="360" w:lineRule="exact"/>
        <w:ind w:firstLine="480" w:firstLineChars="200"/>
        <w:rPr>
          <w:rFonts w:ascii="仿宋_GB2312" w:hAnsi="仿宋_GB2312" w:eastAsia="仿宋_GB2312" w:cs="仿宋_GB2312"/>
          <w:sz w:val="24"/>
          <w:highlight w:val="none"/>
          <w:u w:val="single"/>
        </w:rPr>
      </w:pPr>
      <w:r>
        <w:rPr>
          <w:rFonts w:hint="eastAsia" w:ascii="仿宋_GB2312" w:hAnsi="仿宋_GB2312" w:eastAsia="仿宋_GB2312" w:cs="仿宋_GB2312"/>
          <w:sz w:val="24"/>
          <w:highlight w:val="none"/>
        </w:rPr>
        <w:t>（2）履约地点</w:t>
      </w:r>
      <w:r>
        <w:rPr>
          <w:rFonts w:hint="eastAsia" w:ascii="仿宋_GB2312" w:hAnsi="仿宋_GB2312" w:eastAsia="仿宋_GB2312" w:cs="仿宋_GB2312"/>
          <w:bCs/>
          <w:sz w:val="24"/>
          <w:highlight w:val="none"/>
        </w:rPr>
        <w:t>：</w:t>
      </w:r>
      <w:r>
        <w:rPr>
          <w:rFonts w:hint="eastAsia" w:ascii="仿宋_GB2312" w:hAnsi="仿宋_GB2312" w:eastAsia="仿宋_GB2312" w:cs="仿宋_GB2312"/>
          <w:sz w:val="24"/>
          <w:highlight w:val="none"/>
          <w:u w:val="single"/>
        </w:rPr>
        <w:t xml:space="preserve"> 西北妇女儿童医院</w:t>
      </w:r>
      <w:r>
        <w:rPr>
          <w:rFonts w:hint="eastAsia" w:ascii="仿宋_GB2312" w:hAnsi="仿宋_GB2312" w:eastAsia="仿宋_GB2312" w:cs="仿宋_GB2312"/>
          <w:sz w:val="24"/>
          <w:highlight w:val="none"/>
          <w:u w:val="single"/>
          <w:lang w:val="en-US" w:eastAsia="zh-CN"/>
        </w:rPr>
        <w:t>指定地点</w:t>
      </w:r>
      <w:r>
        <w:rPr>
          <w:rFonts w:hint="eastAsia" w:ascii="仿宋_GB2312" w:hAnsi="仿宋_GB2312" w:eastAsia="仿宋_GB2312" w:cs="仿宋_GB2312"/>
          <w:sz w:val="24"/>
          <w:highlight w:val="none"/>
          <w:u w:val="single"/>
        </w:rPr>
        <w:t xml:space="preserve">                           </w:t>
      </w:r>
    </w:p>
    <w:p w14:paraId="35C3D77E">
      <w:pPr>
        <w:adjustRightInd w:val="0"/>
        <w:snapToGrid w:val="0"/>
        <w:spacing w:line="360" w:lineRule="exact"/>
        <w:ind w:firstLine="480" w:firstLineChars="200"/>
        <w:rPr>
          <w:rFonts w:ascii="仿宋_GB2312" w:hAnsi="仿宋_GB2312" w:eastAsia="仿宋_GB2312" w:cs="仿宋_GB2312"/>
          <w:sz w:val="24"/>
          <w:highlight w:val="none"/>
        </w:rPr>
      </w:pPr>
      <w:r>
        <w:rPr>
          <w:rFonts w:hint="eastAsia" w:ascii="仿宋_GB2312" w:hAnsi="仿宋_GB2312" w:eastAsia="仿宋_GB2312" w:cs="仿宋_GB2312"/>
          <w:bCs/>
          <w:sz w:val="24"/>
          <w:highlight w:val="none"/>
        </w:rPr>
        <w:t>（3）履约担保：</w:t>
      </w:r>
      <w:r>
        <w:rPr>
          <w:rFonts w:hint="eastAsia" w:ascii="仿宋_GB2312" w:hAnsi="仿宋_GB2312" w:eastAsia="仿宋_GB2312" w:cs="仿宋_GB2312"/>
          <w:sz w:val="24"/>
          <w:highlight w:val="none"/>
        </w:rPr>
        <w:t>是否收取履约保证金：</w:t>
      </w:r>
      <w:r>
        <w:rPr>
          <w:rFonts w:hint="eastAsia" w:ascii="仿宋_GB2312" w:hAnsi="仿宋_GB2312" w:eastAsia="仿宋_GB2312" w:cs="仿宋_GB2312"/>
          <w:sz w:val="24"/>
          <w:highlight w:val="none"/>
        </w:rPr>
        <w:sym w:font="Wingdings" w:char="00A8"/>
      </w:r>
      <w:r>
        <w:rPr>
          <w:rFonts w:hint="eastAsia" w:ascii="仿宋_GB2312" w:hAnsi="仿宋_GB2312" w:eastAsia="仿宋_GB2312" w:cs="仿宋_GB2312"/>
          <w:sz w:val="24"/>
          <w:highlight w:val="none"/>
        </w:rPr>
        <w:t xml:space="preserve">是    </w:t>
      </w:r>
      <w:r>
        <w:rPr>
          <w:rFonts w:hint="eastAsia" w:ascii="仿宋_GB2312" w:hAnsi="仿宋_GB2312" w:eastAsia="仿宋_GB2312" w:cs="仿宋_GB2312"/>
          <w:sz w:val="24"/>
          <w:highlight w:val="none"/>
        </w:rPr>
        <w:sym w:font="Wingdings" w:char="00FE"/>
      </w:r>
      <w:r>
        <w:rPr>
          <w:rFonts w:hint="eastAsia" w:ascii="仿宋_GB2312" w:hAnsi="仿宋_GB2312" w:eastAsia="仿宋_GB2312" w:cs="仿宋_GB2312"/>
          <w:sz w:val="24"/>
          <w:highlight w:val="none"/>
        </w:rPr>
        <w:t>否</w:t>
      </w:r>
    </w:p>
    <w:p w14:paraId="05198F40">
      <w:pPr>
        <w:pStyle w:val="21"/>
        <w:spacing w:line="360" w:lineRule="exact"/>
        <w:ind w:firstLine="480"/>
        <w:rPr>
          <w:rFonts w:ascii="仿宋_GB2312" w:hAnsi="仿宋_GB2312" w:eastAsia="仿宋_GB2312" w:cs="仿宋_GB2312"/>
          <w:sz w:val="24"/>
          <w:szCs w:val="24"/>
          <w:highlight w:val="none"/>
        </w:rPr>
      </w:pPr>
      <w:r>
        <w:rPr>
          <w:rFonts w:hint="eastAsia" w:ascii="仿宋_GB2312" w:hAnsi="仿宋_GB2312" w:eastAsia="仿宋_GB2312" w:cs="仿宋_GB2312"/>
          <w:bCs/>
          <w:sz w:val="24"/>
          <w:szCs w:val="24"/>
          <w:highlight w:val="none"/>
        </w:rPr>
        <w:t xml:space="preserve">  </w:t>
      </w:r>
      <w:r>
        <w:rPr>
          <w:rFonts w:hint="eastAsia" w:ascii="仿宋_GB2312" w:hAnsi="仿宋_GB2312" w:eastAsia="仿宋_GB2312" w:cs="仿宋_GB2312"/>
          <w:sz w:val="24"/>
          <w:szCs w:val="24"/>
          <w:highlight w:val="none"/>
        </w:rPr>
        <w:t xml:space="preserve">  收取履约保证金形式：</w:t>
      </w:r>
      <w:r>
        <w:rPr>
          <w:rFonts w:hint="eastAsia" w:ascii="仿宋_GB2312" w:hAnsi="仿宋_GB2312" w:eastAsia="仿宋_GB2312" w:cs="仿宋_GB2312"/>
          <w:bCs/>
          <w:sz w:val="24"/>
          <w:szCs w:val="24"/>
          <w:highlight w:val="none"/>
          <w:u w:val="single"/>
        </w:rPr>
        <w:t xml:space="preserve">/                          </w:t>
      </w:r>
    </w:p>
    <w:p w14:paraId="73357C7C">
      <w:pPr>
        <w:pStyle w:val="21"/>
        <w:spacing w:line="360" w:lineRule="exact"/>
        <w:ind w:firstLine="480"/>
        <w:rPr>
          <w:rFonts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 xml:space="preserve">    收取履约保证金金额：</w:t>
      </w:r>
      <w:r>
        <w:rPr>
          <w:rFonts w:hint="eastAsia" w:ascii="仿宋_GB2312" w:hAnsi="仿宋_GB2312" w:eastAsia="仿宋_GB2312" w:cs="仿宋_GB2312"/>
          <w:bCs/>
          <w:sz w:val="24"/>
          <w:szCs w:val="24"/>
          <w:highlight w:val="none"/>
          <w:u w:val="single"/>
        </w:rPr>
        <w:t xml:space="preserve">/                           </w:t>
      </w:r>
    </w:p>
    <w:p w14:paraId="6E2AD273">
      <w:pPr>
        <w:snapToGrid w:val="0"/>
        <w:spacing w:line="360" w:lineRule="exact"/>
        <w:ind w:firstLine="480" w:firstLineChars="200"/>
        <w:rPr>
          <w:rFonts w:ascii="仿宋_GB2312" w:hAnsi="仿宋_GB2312" w:eastAsia="仿宋_GB2312" w:cs="仿宋_GB2312"/>
          <w:sz w:val="24"/>
          <w:highlight w:val="none"/>
        </w:rPr>
      </w:pPr>
      <w:r>
        <w:rPr>
          <w:rFonts w:hint="eastAsia" w:ascii="仿宋_GB2312" w:hAnsi="仿宋_GB2312" w:eastAsia="仿宋_GB2312" w:cs="仿宋_GB2312"/>
          <w:bCs/>
          <w:sz w:val="24"/>
          <w:highlight w:val="none"/>
        </w:rPr>
        <w:t xml:space="preserve">    履约担保期限：</w:t>
      </w:r>
      <w:r>
        <w:rPr>
          <w:rFonts w:hint="eastAsia" w:ascii="仿宋_GB2312" w:hAnsi="仿宋_GB2312" w:eastAsia="仿宋_GB2312" w:cs="仿宋_GB2312"/>
          <w:bCs/>
          <w:sz w:val="24"/>
          <w:highlight w:val="none"/>
          <w:u w:val="single"/>
        </w:rPr>
        <w:t xml:space="preserve">/                                </w:t>
      </w:r>
    </w:p>
    <w:p w14:paraId="674BB61C">
      <w:pPr>
        <w:numPr>
          <w:ilvl w:val="0"/>
          <w:numId w:val="2"/>
        </w:numPr>
        <w:adjustRightInd w:val="0"/>
        <w:snapToGrid w:val="0"/>
        <w:spacing w:line="360" w:lineRule="exact"/>
        <w:ind w:firstLine="480" w:firstLineChars="200"/>
        <w:rPr>
          <w:rFonts w:hint="eastAsia" w:ascii="仿宋_GB2312" w:hAnsi="仿宋_GB2312" w:eastAsia="仿宋_GB2312" w:cs="仿宋_GB2312"/>
          <w:bCs/>
          <w:sz w:val="24"/>
          <w:highlight w:val="none"/>
          <w:u w:val="single"/>
        </w:rPr>
      </w:pPr>
      <w:r>
        <w:rPr>
          <w:rFonts w:hint="eastAsia" w:ascii="仿宋_GB2312" w:hAnsi="仿宋_GB2312" w:eastAsia="仿宋_GB2312" w:cs="仿宋_GB2312"/>
          <w:bCs/>
          <w:sz w:val="24"/>
          <w:highlight w:val="none"/>
        </w:rPr>
        <w:t>分期履行要求：</w:t>
      </w:r>
      <w:r>
        <w:rPr>
          <w:rFonts w:hint="eastAsia" w:ascii="仿宋_GB2312" w:hAnsi="仿宋_GB2312" w:eastAsia="仿宋_GB2312" w:cs="仿宋_GB2312"/>
          <w:bCs/>
          <w:sz w:val="24"/>
          <w:highlight w:val="none"/>
          <w:u w:val="single"/>
        </w:rPr>
        <w:t>按甲方需求随时供货，接到甲方通知后5个工作日内完成。</w:t>
      </w:r>
    </w:p>
    <w:p w14:paraId="04957A20">
      <w:pPr>
        <w:numPr>
          <w:ilvl w:val="0"/>
          <w:numId w:val="0"/>
        </w:numPr>
        <w:adjustRightInd w:val="0"/>
        <w:snapToGrid w:val="0"/>
        <w:spacing w:line="360" w:lineRule="exact"/>
        <w:ind w:firstLine="480" w:firstLineChars="200"/>
        <w:rPr>
          <w:rFonts w:ascii="仿宋_GB2312" w:hAnsi="仿宋_GB2312" w:eastAsia="仿宋_GB2312" w:cs="仿宋_GB2312"/>
          <w:sz w:val="24"/>
          <w:highlight w:val="none"/>
          <w:u w:val="single"/>
        </w:rPr>
      </w:pPr>
      <w:r>
        <w:rPr>
          <w:rFonts w:hint="eastAsia" w:ascii="仿宋_GB2312" w:hAnsi="仿宋_GB2312" w:eastAsia="仿宋_GB2312" w:cs="仿宋_GB2312"/>
          <w:bCs/>
          <w:sz w:val="24"/>
          <w:highlight w:val="none"/>
        </w:rPr>
        <w:t>（5）风险处置措施和替代方案</w:t>
      </w:r>
      <w:r>
        <w:rPr>
          <w:rFonts w:hint="eastAsia" w:ascii="仿宋_GB2312" w:hAnsi="仿宋_GB2312" w:eastAsia="仿宋_GB2312" w:cs="仿宋_GB2312"/>
          <w:bCs/>
          <w:color w:val="auto"/>
          <w:sz w:val="24"/>
          <w:highlight w:val="none"/>
        </w:rPr>
        <w:t>：</w:t>
      </w:r>
      <w:r>
        <w:rPr>
          <w:rFonts w:hint="eastAsia" w:ascii="仿宋_GB2312" w:hAnsi="仿宋_GB2312" w:eastAsia="仿宋_GB2312" w:cs="仿宋_GB2312"/>
          <w:color w:val="auto"/>
          <w:sz w:val="24"/>
          <w:highlight w:val="none"/>
          <w:u w:val="single"/>
        </w:rPr>
        <w:t xml:space="preserve">/  </w:t>
      </w:r>
      <w:r>
        <w:rPr>
          <w:rFonts w:hint="eastAsia" w:ascii="仿宋_GB2312" w:hAnsi="仿宋_GB2312" w:eastAsia="仿宋_GB2312" w:cs="仿宋_GB2312"/>
          <w:color w:val="000000" w:themeColor="text1"/>
          <w:sz w:val="24"/>
          <w:highlight w:val="none"/>
          <w:u w:val="single"/>
          <w14:textFill>
            <w14:solidFill>
              <w14:schemeClr w14:val="tx1"/>
            </w14:solidFill>
          </w14:textFill>
        </w:rPr>
        <w:t xml:space="preserve">     </w:t>
      </w:r>
      <w:r>
        <w:rPr>
          <w:rFonts w:hint="eastAsia" w:ascii="仿宋_GB2312" w:hAnsi="仿宋_GB2312" w:eastAsia="仿宋_GB2312" w:cs="仿宋_GB2312"/>
          <w:sz w:val="24"/>
          <w:highlight w:val="none"/>
          <w:u w:val="single"/>
        </w:rPr>
        <w:t xml:space="preserve">                                                </w:t>
      </w:r>
    </w:p>
    <w:p w14:paraId="5181548B">
      <w:pPr>
        <w:numPr>
          <w:ilvl w:val="0"/>
          <w:numId w:val="0"/>
        </w:numPr>
        <w:adjustRightInd w:val="0"/>
        <w:snapToGrid w:val="0"/>
        <w:spacing w:line="360" w:lineRule="exact"/>
        <w:ind w:firstLine="482" w:firstLineChars="200"/>
        <w:rPr>
          <w:rFonts w:ascii="仿宋_GB2312" w:hAnsi="仿宋_GB2312" w:eastAsia="仿宋_GB2312" w:cs="仿宋_GB2312"/>
          <w:b/>
          <w:sz w:val="24"/>
          <w:highlight w:val="none"/>
        </w:rPr>
      </w:pPr>
      <w:r>
        <w:rPr>
          <w:rFonts w:ascii="仿宋_GB2312" w:hAnsi="仿宋_GB2312" w:eastAsia="仿宋_GB2312" w:cs="仿宋_GB2312"/>
          <w:b/>
          <w:kern w:val="2"/>
          <w:sz w:val="24"/>
          <w:highlight w:val="none"/>
          <w:lang w:val="en-US" w:eastAsia="zh-CN" w:bidi="ar-SA"/>
        </w:rPr>
        <w:t>4.</w:t>
      </w:r>
      <w:r>
        <w:rPr>
          <w:rFonts w:hint="eastAsia" w:ascii="仿宋_GB2312" w:hAnsi="仿宋_GB2312" w:eastAsia="仿宋_GB2312" w:cs="仿宋_GB2312"/>
          <w:b/>
          <w:sz w:val="24"/>
          <w:highlight w:val="none"/>
        </w:rPr>
        <w:t>合同验收</w:t>
      </w:r>
    </w:p>
    <w:p w14:paraId="11876BB7">
      <w:pPr>
        <w:numPr>
          <w:ilvl w:val="0"/>
          <w:numId w:val="3"/>
        </w:numPr>
        <w:adjustRightInd w:val="0"/>
        <w:snapToGrid w:val="0"/>
        <w:spacing w:line="360" w:lineRule="exact"/>
        <w:ind w:firstLine="480" w:firstLineChars="200"/>
        <w:rPr>
          <w:rFonts w:ascii="仿宋_GB2312" w:hAnsi="仿宋_GB2312" w:eastAsia="仿宋_GB2312" w:cs="仿宋_GB2312"/>
          <w:bCs/>
          <w:sz w:val="24"/>
          <w:highlight w:val="none"/>
        </w:rPr>
      </w:pPr>
      <w:r>
        <w:rPr>
          <w:rFonts w:hint="eastAsia" w:ascii="仿宋_GB2312" w:hAnsi="仿宋_GB2312" w:eastAsia="仿宋_GB2312" w:cs="仿宋_GB2312"/>
          <w:bCs/>
          <w:sz w:val="24"/>
          <w:highlight w:val="none"/>
        </w:rPr>
        <w:t>验收组织方式：</w:t>
      </w:r>
      <w:r>
        <w:rPr>
          <w:rFonts w:hint="eastAsia" w:ascii="仿宋_GB2312" w:hAnsi="仿宋_GB2312" w:eastAsia="仿宋_GB2312" w:cs="仿宋_GB2312"/>
          <w:sz w:val="24"/>
          <w:highlight w:val="none"/>
        </w:rPr>
        <w:sym w:font="Wingdings" w:char="00FE"/>
      </w:r>
      <w:r>
        <w:rPr>
          <w:rFonts w:hint="eastAsia" w:ascii="仿宋_GB2312" w:hAnsi="仿宋_GB2312" w:eastAsia="仿宋_GB2312" w:cs="仿宋_GB2312"/>
          <w:bCs/>
          <w:sz w:val="24"/>
          <w:highlight w:val="none"/>
        </w:rPr>
        <w:t xml:space="preserve">自行组织 </w:t>
      </w:r>
      <w:r>
        <w:rPr>
          <w:rFonts w:hint="eastAsia" w:ascii="仿宋_GB2312" w:hAnsi="仿宋_GB2312" w:eastAsia="仿宋_GB2312" w:cs="仿宋_GB2312"/>
          <w:sz w:val="24"/>
          <w:highlight w:val="none"/>
        </w:rPr>
        <w:sym w:font="Wingdings" w:char="00A8"/>
      </w:r>
      <w:r>
        <w:rPr>
          <w:rFonts w:hint="eastAsia" w:ascii="仿宋_GB2312" w:hAnsi="仿宋_GB2312" w:eastAsia="仿宋_GB2312" w:cs="仿宋_GB2312"/>
          <w:bCs/>
          <w:sz w:val="24"/>
          <w:highlight w:val="none"/>
        </w:rPr>
        <w:t>委托第三方组织</w:t>
      </w:r>
    </w:p>
    <w:p w14:paraId="08CCE8C9">
      <w:pPr>
        <w:adjustRightInd w:val="0"/>
        <w:snapToGrid w:val="0"/>
        <w:spacing w:line="360" w:lineRule="exact"/>
        <w:rPr>
          <w:rFonts w:ascii="仿宋_GB2312" w:hAnsi="仿宋_GB2312" w:eastAsia="仿宋_GB2312" w:cs="仿宋_GB2312"/>
          <w:bCs/>
          <w:sz w:val="24"/>
          <w:highlight w:val="none"/>
        </w:rPr>
      </w:pPr>
      <w:r>
        <w:rPr>
          <w:rFonts w:hint="eastAsia" w:ascii="仿宋_GB2312" w:hAnsi="仿宋_GB2312" w:eastAsia="仿宋_GB2312" w:cs="仿宋_GB2312"/>
          <w:bCs/>
          <w:sz w:val="24"/>
          <w:highlight w:val="none"/>
        </w:rPr>
        <w:t xml:space="preserve">        验收主体：</w:t>
      </w:r>
      <w:r>
        <w:rPr>
          <w:rFonts w:hint="eastAsia" w:ascii="仿宋_GB2312" w:hAnsi="仿宋_GB2312" w:eastAsia="仿宋_GB2312" w:cs="仿宋_GB2312"/>
          <w:bCs/>
          <w:sz w:val="24"/>
          <w:highlight w:val="none"/>
          <w:u w:val="single"/>
        </w:rPr>
        <w:t xml:space="preserve"> 西北妇女儿童医院</w:t>
      </w:r>
      <w:r>
        <w:rPr>
          <w:rFonts w:hint="eastAsia" w:ascii="仿宋_GB2312" w:hAnsi="仿宋_GB2312" w:eastAsia="仿宋_GB2312" w:cs="仿宋_GB2312"/>
          <w:bCs/>
          <w:sz w:val="24"/>
          <w:highlight w:val="none"/>
          <w:u w:val="single"/>
          <w:lang w:val="en-US" w:eastAsia="zh-CN"/>
        </w:rPr>
        <w:t>医疗设备科</w:t>
      </w:r>
      <w:r>
        <w:rPr>
          <w:rFonts w:hint="eastAsia" w:ascii="仿宋_GB2312" w:hAnsi="仿宋_GB2312" w:eastAsia="仿宋_GB2312" w:cs="仿宋_GB2312"/>
          <w:bCs/>
          <w:sz w:val="24"/>
          <w:highlight w:val="none"/>
          <w:u w:val="single"/>
        </w:rPr>
        <w:t xml:space="preserve">                 </w:t>
      </w:r>
    </w:p>
    <w:p w14:paraId="40A5F5EE">
      <w:pPr>
        <w:adjustRightInd w:val="0"/>
        <w:snapToGrid w:val="0"/>
        <w:spacing w:line="360" w:lineRule="exact"/>
        <w:rPr>
          <w:rFonts w:ascii="仿宋_GB2312" w:hAnsi="仿宋_GB2312" w:eastAsia="仿宋_GB2312" w:cs="仿宋_GB2312"/>
          <w:bCs/>
          <w:sz w:val="24"/>
          <w:highlight w:val="none"/>
        </w:rPr>
      </w:pPr>
      <w:r>
        <w:rPr>
          <w:rFonts w:hint="eastAsia" w:ascii="仿宋_GB2312" w:hAnsi="仿宋_GB2312" w:eastAsia="仿宋_GB2312" w:cs="仿宋_GB2312"/>
          <w:bCs/>
          <w:sz w:val="24"/>
          <w:highlight w:val="none"/>
        </w:rPr>
        <w:t xml:space="preserve">        是否邀请本项目的其他供应商参加验收：</w:t>
      </w:r>
      <w:r>
        <w:rPr>
          <w:rFonts w:hint="eastAsia" w:ascii="仿宋_GB2312" w:hAnsi="仿宋_GB2312" w:eastAsia="仿宋_GB2312" w:cs="仿宋_GB2312"/>
          <w:sz w:val="24"/>
          <w:highlight w:val="none"/>
        </w:rPr>
        <w:sym w:font="Wingdings" w:char="00A8"/>
      </w:r>
      <w:r>
        <w:rPr>
          <w:rFonts w:hint="eastAsia" w:ascii="仿宋_GB2312" w:hAnsi="仿宋_GB2312" w:eastAsia="仿宋_GB2312" w:cs="仿宋_GB2312"/>
          <w:bCs/>
          <w:sz w:val="24"/>
          <w:highlight w:val="none"/>
        </w:rPr>
        <w:t xml:space="preserve">是  </w:t>
      </w:r>
      <w:r>
        <w:rPr>
          <w:rFonts w:hint="eastAsia" w:ascii="仿宋_GB2312" w:hAnsi="仿宋_GB2312" w:eastAsia="仿宋_GB2312" w:cs="仿宋_GB2312"/>
          <w:sz w:val="24"/>
          <w:highlight w:val="none"/>
        </w:rPr>
        <w:sym w:font="Wingdings" w:char="00FE"/>
      </w:r>
      <w:r>
        <w:rPr>
          <w:rFonts w:hint="eastAsia" w:ascii="仿宋_GB2312" w:hAnsi="仿宋_GB2312" w:eastAsia="仿宋_GB2312" w:cs="仿宋_GB2312"/>
          <w:bCs/>
          <w:sz w:val="24"/>
          <w:highlight w:val="none"/>
        </w:rPr>
        <w:t>否</w:t>
      </w:r>
    </w:p>
    <w:p w14:paraId="3B01B98D">
      <w:pPr>
        <w:adjustRightInd w:val="0"/>
        <w:snapToGrid w:val="0"/>
        <w:spacing w:line="360" w:lineRule="exact"/>
        <w:ind w:firstLine="960" w:firstLineChars="400"/>
        <w:rPr>
          <w:rFonts w:ascii="仿宋_GB2312" w:hAnsi="仿宋_GB2312" w:eastAsia="仿宋_GB2312" w:cs="仿宋_GB2312"/>
          <w:bCs/>
          <w:sz w:val="24"/>
          <w:highlight w:val="none"/>
        </w:rPr>
      </w:pPr>
      <w:r>
        <w:rPr>
          <w:rFonts w:hint="eastAsia" w:ascii="仿宋_GB2312" w:hAnsi="仿宋_GB2312" w:eastAsia="仿宋_GB2312" w:cs="仿宋_GB2312"/>
          <w:bCs/>
          <w:sz w:val="24"/>
          <w:highlight w:val="none"/>
        </w:rPr>
        <w:t>是否邀请专家参加验收：</w:t>
      </w:r>
      <w:r>
        <w:rPr>
          <w:rFonts w:hint="eastAsia" w:ascii="仿宋_GB2312" w:hAnsi="仿宋_GB2312" w:eastAsia="仿宋_GB2312" w:cs="仿宋_GB2312"/>
          <w:sz w:val="24"/>
          <w:highlight w:val="none"/>
        </w:rPr>
        <w:sym w:font="Wingdings" w:char="00A8"/>
      </w:r>
      <w:r>
        <w:rPr>
          <w:rFonts w:hint="eastAsia" w:ascii="仿宋_GB2312" w:hAnsi="仿宋_GB2312" w:eastAsia="仿宋_GB2312" w:cs="仿宋_GB2312"/>
          <w:bCs/>
          <w:sz w:val="24"/>
          <w:highlight w:val="none"/>
        </w:rPr>
        <w:t xml:space="preserve">是  </w:t>
      </w:r>
      <w:r>
        <w:rPr>
          <w:rFonts w:hint="eastAsia" w:ascii="仿宋_GB2312" w:hAnsi="仿宋_GB2312" w:eastAsia="仿宋_GB2312" w:cs="仿宋_GB2312"/>
          <w:sz w:val="24"/>
          <w:highlight w:val="none"/>
        </w:rPr>
        <w:sym w:font="Wingdings" w:char="00FE"/>
      </w:r>
      <w:r>
        <w:rPr>
          <w:rFonts w:hint="eastAsia" w:ascii="仿宋_GB2312" w:hAnsi="仿宋_GB2312" w:eastAsia="仿宋_GB2312" w:cs="仿宋_GB2312"/>
          <w:bCs/>
          <w:sz w:val="24"/>
          <w:highlight w:val="none"/>
        </w:rPr>
        <w:t>否</w:t>
      </w:r>
    </w:p>
    <w:p w14:paraId="6B9EF1E3">
      <w:pPr>
        <w:adjustRightInd w:val="0"/>
        <w:snapToGrid w:val="0"/>
        <w:spacing w:line="360" w:lineRule="exact"/>
        <w:ind w:firstLine="960" w:firstLineChars="400"/>
        <w:rPr>
          <w:rFonts w:ascii="仿宋_GB2312" w:hAnsi="仿宋_GB2312" w:eastAsia="仿宋_GB2312" w:cs="仿宋_GB2312"/>
          <w:bCs/>
          <w:sz w:val="24"/>
          <w:highlight w:val="none"/>
        </w:rPr>
      </w:pPr>
      <w:r>
        <w:rPr>
          <w:rFonts w:hint="eastAsia" w:ascii="仿宋_GB2312" w:hAnsi="仿宋_GB2312" w:eastAsia="仿宋_GB2312" w:cs="仿宋_GB2312"/>
          <w:bCs/>
          <w:sz w:val="24"/>
          <w:highlight w:val="none"/>
        </w:rPr>
        <w:t>是否邀请服务对象参加验收：</w:t>
      </w:r>
      <w:r>
        <w:rPr>
          <w:rFonts w:hint="eastAsia" w:ascii="仿宋_GB2312" w:hAnsi="仿宋_GB2312" w:eastAsia="仿宋_GB2312" w:cs="仿宋_GB2312"/>
          <w:sz w:val="24"/>
          <w:highlight w:val="none"/>
        </w:rPr>
        <w:sym w:font="Wingdings" w:char="00FE"/>
      </w:r>
      <w:r>
        <w:rPr>
          <w:rFonts w:hint="eastAsia" w:ascii="仿宋_GB2312" w:hAnsi="仿宋_GB2312" w:eastAsia="仿宋_GB2312" w:cs="仿宋_GB2312"/>
          <w:bCs/>
          <w:sz w:val="24"/>
          <w:highlight w:val="none"/>
        </w:rPr>
        <w:t xml:space="preserve">是  </w:t>
      </w:r>
      <w:r>
        <w:rPr>
          <w:rFonts w:hint="eastAsia" w:ascii="仿宋_GB2312" w:hAnsi="仿宋_GB2312" w:eastAsia="仿宋_GB2312" w:cs="仿宋_GB2312"/>
          <w:sz w:val="24"/>
          <w:highlight w:val="none"/>
        </w:rPr>
        <w:sym w:font="Wingdings" w:char="00A8"/>
      </w:r>
      <w:r>
        <w:rPr>
          <w:rFonts w:hint="eastAsia" w:ascii="仿宋_GB2312" w:hAnsi="仿宋_GB2312" w:eastAsia="仿宋_GB2312" w:cs="仿宋_GB2312"/>
          <w:bCs/>
          <w:sz w:val="24"/>
          <w:highlight w:val="none"/>
        </w:rPr>
        <w:t>否</w:t>
      </w:r>
    </w:p>
    <w:p w14:paraId="7152765F">
      <w:pPr>
        <w:adjustRightInd w:val="0"/>
        <w:snapToGrid w:val="0"/>
        <w:spacing w:line="360" w:lineRule="exact"/>
        <w:ind w:firstLine="960" w:firstLineChars="400"/>
        <w:rPr>
          <w:rFonts w:ascii="仿宋_GB2312" w:hAnsi="仿宋_GB2312" w:eastAsia="仿宋_GB2312" w:cs="仿宋_GB2312"/>
          <w:bCs/>
          <w:sz w:val="24"/>
          <w:highlight w:val="none"/>
        </w:rPr>
      </w:pPr>
      <w:r>
        <w:rPr>
          <w:rFonts w:hint="eastAsia" w:ascii="仿宋_GB2312" w:hAnsi="仿宋_GB2312" w:eastAsia="仿宋_GB2312" w:cs="仿宋_GB2312"/>
          <w:bCs/>
          <w:sz w:val="24"/>
          <w:highlight w:val="none"/>
        </w:rPr>
        <w:t>是否邀请第三方检测机构参加验收：</w:t>
      </w:r>
      <w:r>
        <w:rPr>
          <w:rFonts w:hint="eastAsia" w:ascii="仿宋_GB2312" w:hAnsi="仿宋_GB2312" w:eastAsia="仿宋_GB2312" w:cs="仿宋_GB2312"/>
          <w:sz w:val="24"/>
          <w:highlight w:val="none"/>
        </w:rPr>
        <w:sym w:font="Wingdings" w:char="00A8"/>
      </w:r>
      <w:r>
        <w:rPr>
          <w:rFonts w:hint="eastAsia" w:ascii="仿宋_GB2312" w:hAnsi="仿宋_GB2312" w:eastAsia="仿宋_GB2312" w:cs="仿宋_GB2312"/>
          <w:bCs/>
          <w:sz w:val="24"/>
          <w:highlight w:val="none"/>
        </w:rPr>
        <w:t xml:space="preserve">是  </w:t>
      </w:r>
      <w:r>
        <w:rPr>
          <w:rFonts w:hint="eastAsia" w:ascii="仿宋_GB2312" w:hAnsi="仿宋_GB2312" w:eastAsia="仿宋_GB2312" w:cs="仿宋_GB2312"/>
          <w:sz w:val="24"/>
          <w:highlight w:val="none"/>
        </w:rPr>
        <w:sym w:font="Wingdings" w:char="00FE"/>
      </w:r>
      <w:r>
        <w:rPr>
          <w:rFonts w:hint="eastAsia" w:ascii="仿宋_GB2312" w:hAnsi="仿宋_GB2312" w:eastAsia="仿宋_GB2312" w:cs="仿宋_GB2312"/>
          <w:bCs/>
          <w:sz w:val="24"/>
          <w:highlight w:val="none"/>
        </w:rPr>
        <w:t>否</w:t>
      </w:r>
    </w:p>
    <w:p w14:paraId="45B4A725">
      <w:pPr>
        <w:adjustRightInd w:val="0"/>
        <w:snapToGrid w:val="0"/>
        <w:spacing w:line="360" w:lineRule="exact"/>
        <w:ind w:firstLine="960" w:firstLineChars="400"/>
        <w:rPr>
          <w:rFonts w:ascii="仿宋_GB2312" w:hAnsi="仿宋_GB2312" w:eastAsia="仿宋_GB2312" w:cs="仿宋_GB2312"/>
          <w:bCs/>
          <w:sz w:val="24"/>
          <w:highlight w:val="none"/>
        </w:rPr>
      </w:pPr>
      <w:r>
        <w:rPr>
          <w:rFonts w:hint="eastAsia" w:ascii="仿宋_GB2312" w:hAnsi="仿宋_GB2312" w:eastAsia="仿宋_GB2312" w:cs="仿宋_GB2312"/>
          <w:bCs/>
          <w:sz w:val="24"/>
          <w:highlight w:val="none"/>
        </w:rPr>
        <w:t>是否进行抽查检测：</w:t>
      </w:r>
      <w:r>
        <w:rPr>
          <w:rFonts w:hint="eastAsia" w:ascii="仿宋_GB2312" w:hAnsi="仿宋_GB2312" w:eastAsia="仿宋_GB2312" w:cs="仿宋_GB2312"/>
          <w:sz w:val="24"/>
          <w:highlight w:val="none"/>
        </w:rPr>
        <w:sym w:font="Wingdings" w:char="00A8"/>
      </w:r>
      <w:r>
        <w:rPr>
          <w:rFonts w:hint="eastAsia" w:ascii="仿宋_GB2312" w:hAnsi="仿宋_GB2312" w:eastAsia="仿宋_GB2312" w:cs="仿宋_GB2312"/>
          <w:bCs/>
          <w:sz w:val="24"/>
          <w:highlight w:val="none"/>
        </w:rPr>
        <w:t>是，抽查比例：</w:t>
      </w:r>
      <w:r>
        <w:rPr>
          <w:rFonts w:hint="eastAsia" w:ascii="仿宋_GB2312" w:hAnsi="仿宋_GB2312" w:eastAsia="仿宋_GB2312" w:cs="仿宋_GB2312"/>
          <w:bCs/>
          <w:sz w:val="24"/>
          <w:highlight w:val="none"/>
          <w:u w:val="single"/>
        </w:rPr>
        <w:t xml:space="preserve">        </w:t>
      </w:r>
      <w:r>
        <w:rPr>
          <w:rFonts w:hint="eastAsia" w:ascii="仿宋_GB2312" w:hAnsi="仿宋_GB2312" w:eastAsia="仿宋_GB2312" w:cs="仿宋_GB2312"/>
          <w:bCs/>
          <w:sz w:val="24"/>
          <w:highlight w:val="none"/>
        </w:rPr>
        <w:t xml:space="preserve"> </w:t>
      </w:r>
      <w:r>
        <w:rPr>
          <w:rFonts w:hint="eastAsia" w:ascii="仿宋_GB2312" w:hAnsi="仿宋_GB2312" w:eastAsia="仿宋_GB2312" w:cs="仿宋_GB2312"/>
          <w:sz w:val="24"/>
          <w:highlight w:val="none"/>
        </w:rPr>
        <w:sym w:font="Wingdings" w:char="00FE"/>
      </w:r>
      <w:r>
        <w:rPr>
          <w:rFonts w:hint="eastAsia" w:ascii="仿宋_GB2312" w:hAnsi="仿宋_GB2312" w:eastAsia="仿宋_GB2312" w:cs="仿宋_GB2312"/>
          <w:bCs/>
          <w:sz w:val="24"/>
          <w:highlight w:val="none"/>
        </w:rPr>
        <w:t>否</w:t>
      </w:r>
    </w:p>
    <w:p w14:paraId="3BA935A8">
      <w:pPr>
        <w:adjustRightInd w:val="0"/>
        <w:snapToGrid w:val="0"/>
        <w:spacing w:line="360" w:lineRule="exact"/>
        <w:ind w:firstLine="960" w:firstLineChars="400"/>
        <w:rPr>
          <w:rFonts w:ascii="仿宋_GB2312" w:hAnsi="仿宋_GB2312" w:eastAsia="仿宋_GB2312" w:cs="仿宋_GB2312"/>
          <w:bCs/>
          <w:sz w:val="24"/>
          <w:highlight w:val="none"/>
          <w:u w:val="single"/>
        </w:rPr>
      </w:pPr>
      <w:r>
        <w:rPr>
          <w:rFonts w:hint="eastAsia" w:ascii="仿宋_GB2312" w:hAnsi="仿宋_GB2312" w:eastAsia="仿宋_GB2312" w:cs="仿宋_GB2312"/>
          <w:bCs/>
          <w:sz w:val="24"/>
          <w:highlight w:val="none"/>
        </w:rPr>
        <w:t>是否存在破坏性检测：</w:t>
      </w:r>
      <w:r>
        <w:rPr>
          <w:rFonts w:hint="eastAsia" w:ascii="仿宋_GB2312" w:hAnsi="仿宋_GB2312" w:eastAsia="仿宋_GB2312" w:cs="仿宋_GB2312"/>
          <w:sz w:val="24"/>
          <w:highlight w:val="none"/>
        </w:rPr>
        <w:sym w:font="Wingdings" w:char="00A8"/>
      </w:r>
      <w:r>
        <w:rPr>
          <w:rFonts w:hint="eastAsia" w:ascii="仿宋_GB2312" w:hAnsi="仿宋_GB2312" w:eastAsia="仿宋_GB2312" w:cs="仿宋_GB2312"/>
          <w:bCs/>
          <w:sz w:val="24"/>
          <w:highlight w:val="none"/>
        </w:rPr>
        <w:t>是</w:t>
      </w:r>
    </w:p>
    <w:p w14:paraId="0B681489">
      <w:pPr>
        <w:adjustRightInd w:val="0"/>
        <w:snapToGrid w:val="0"/>
        <w:spacing w:line="360" w:lineRule="exact"/>
        <w:ind w:firstLine="960" w:firstLineChars="400"/>
        <w:rPr>
          <w:rFonts w:ascii="仿宋_GB2312" w:hAnsi="仿宋_GB2312" w:eastAsia="仿宋_GB2312" w:cs="仿宋_GB2312"/>
          <w:bCs/>
          <w:sz w:val="24"/>
          <w:highlight w:val="none"/>
        </w:rPr>
      </w:pPr>
      <w:r>
        <w:rPr>
          <w:rFonts w:hint="eastAsia" w:ascii="仿宋_GB2312" w:hAnsi="仿宋_GB2312" w:eastAsia="仿宋_GB2312" w:cs="仿宋_GB2312"/>
          <w:bCs/>
          <w:sz w:val="24"/>
          <w:highlight w:val="none"/>
        </w:rPr>
        <w:t xml:space="preserve">                    </w:t>
      </w:r>
      <w:r>
        <w:rPr>
          <w:rFonts w:hint="eastAsia" w:ascii="仿宋_GB2312" w:hAnsi="仿宋_GB2312" w:eastAsia="仿宋_GB2312" w:cs="仿宋_GB2312"/>
          <w:sz w:val="24"/>
          <w:highlight w:val="none"/>
        </w:rPr>
        <w:sym w:font="Wingdings" w:char="00FE"/>
      </w:r>
      <w:r>
        <w:rPr>
          <w:rFonts w:hint="eastAsia" w:ascii="仿宋_GB2312" w:hAnsi="仿宋_GB2312" w:eastAsia="仿宋_GB2312" w:cs="仿宋_GB2312"/>
          <w:bCs/>
          <w:sz w:val="24"/>
          <w:highlight w:val="none"/>
        </w:rPr>
        <w:t>否</w:t>
      </w:r>
    </w:p>
    <w:p w14:paraId="34759D29">
      <w:pPr>
        <w:adjustRightInd w:val="0"/>
        <w:snapToGrid w:val="0"/>
        <w:spacing w:line="360" w:lineRule="exact"/>
        <w:ind w:firstLine="960" w:firstLineChars="400"/>
        <w:rPr>
          <w:rFonts w:ascii="仿宋_GB2312" w:hAnsi="仿宋_GB2312" w:eastAsia="仿宋_GB2312" w:cs="仿宋_GB2312"/>
          <w:bCs/>
          <w:sz w:val="24"/>
          <w:highlight w:val="none"/>
          <w:u w:val="single"/>
        </w:rPr>
      </w:pPr>
      <w:r>
        <w:rPr>
          <w:rFonts w:hint="eastAsia" w:ascii="仿宋_GB2312" w:hAnsi="仿宋_GB2312" w:eastAsia="仿宋_GB2312" w:cs="仿宋_GB2312"/>
          <w:bCs/>
          <w:sz w:val="24"/>
          <w:highlight w:val="none"/>
        </w:rPr>
        <w:t>验收组织的其他事项：</w:t>
      </w:r>
      <w:r>
        <w:rPr>
          <w:rFonts w:hint="eastAsia" w:ascii="仿宋_GB2312" w:hAnsi="仿宋_GB2312" w:eastAsia="仿宋_GB2312" w:cs="仿宋_GB2312"/>
          <w:bCs/>
          <w:sz w:val="24"/>
          <w:highlight w:val="none"/>
          <w:u w:val="single"/>
        </w:rPr>
        <w:t xml:space="preserve">/           </w:t>
      </w:r>
    </w:p>
    <w:p w14:paraId="38E47128">
      <w:pPr>
        <w:adjustRightInd w:val="0"/>
        <w:snapToGrid w:val="0"/>
        <w:spacing w:line="360" w:lineRule="exact"/>
        <w:ind w:firstLine="480" w:firstLineChars="200"/>
        <w:rPr>
          <w:rFonts w:hint="default" w:ascii="仿宋_GB2312" w:hAnsi="仿宋_GB2312" w:eastAsia="仿宋_GB2312" w:cs="仿宋_GB2312"/>
          <w:bCs/>
          <w:sz w:val="24"/>
          <w:highlight w:val="none"/>
          <w:u w:val="single"/>
          <w:lang w:val="en-US" w:eastAsia="zh-CN"/>
        </w:rPr>
      </w:pPr>
      <w:r>
        <w:rPr>
          <w:rFonts w:hint="eastAsia" w:ascii="仿宋_GB2312" w:hAnsi="仿宋_GB2312" w:eastAsia="仿宋_GB2312" w:cs="仿宋_GB2312"/>
          <w:bCs/>
          <w:sz w:val="24"/>
          <w:highlight w:val="none"/>
        </w:rPr>
        <w:t>（2）履约验收时间：</w:t>
      </w:r>
      <w:r>
        <w:rPr>
          <w:rFonts w:hint="eastAsia" w:ascii="仿宋_GB2312" w:hAnsi="仿宋_GB2312" w:eastAsia="仿宋_GB2312" w:cs="仿宋_GB2312"/>
          <w:bCs/>
          <w:sz w:val="24"/>
          <w:highlight w:val="none"/>
          <w:u w:val="single"/>
        </w:rPr>
        <w:t xml:space="preserve"> </w:t>
      </w:r>
      <w:r>
        <w:rPr>
          <w:rFonts w:hint="eastAsia" w:ascii="仿宋_GB2312" w:hAnsi="仿宋_GB2312" w:eastAsia="仿宋_GB2312" w:cs="仿宋_GB2312"/>
          <w:bCs/>
          <w:sz w:val="24"/>
          <w:highlight w:val="none"/>
          <w:u w:val="single"/>
          <w:lang w:val="en-US" w:eastAsia="zh-CN"/>
        </w:rPr>
        <w:t xml:space="preserve"> 甲方医疗设备科根据科室领用计划、耗材实际入库到货进度分批次通知乙方开展分批验收，乙方在甲方通知后到场配合验收。</w:t>
      </w:r>
    </w:p>
    <w:p w14:paraId="2BDBABB4">
      <w:pPr>
        <w:adjustRightInd w:val="0"/>
        <w:snapToGrid w:val="0"/>
        <w:spacing w:line="360" w:lineRule="exact"/>
        <w:ind w:firstLine="480" w:firstLineChars="200"/>
        <w:rPr>
          <w:rFonts w:ascii="仿宋_GB2312" w:hAnsi="仿宋_GB2312" w:eastAsia="仿宋_GB2312" w:cs="仿宋_GB2312"/>
          <w:bCs/>
          <w:sz w:val="24"/>
          <w:highlight w:val="none"/>
        </w:rPr>
      </w:pPr>
      <w:r>
        <w:rPr>
          <w:rFonts w:hint="eastAsia" w:ascii="仿宋_GB2312" w:hAnsi="仿宋_GB2312" w:eastAsia="仿宋_GB2312" w:cs="仿宋_GB2312"/>
          <w:bCs/>
          <w:sz w:val="24"/>
          <w:highlight w:val="none"/>
        </w:rPr>
        <w:t>（3）履约验收方式：</w:t>
      </w:r>
      <w:r>
        <w:rPr>
          <w:rFonts w:hint="eastAsia" w:ascii="仿宋_GB2312" w:hAnsi="仿宋_GB2312" w:eastAsia="仿宋_GB2312" w:cs="仿宋_GB2312"/>
          <w:sz w:val="24"/>
          <w:highlight w:val="none"/>
        </w:rPr>
        <w:sym w:font="Wingdings" w:char="00A8"/>
      </w:r>
      <w:r>
        <w:rPr>
          <w:rFonts w:hint="eastAsia" w:ascii="仿宋_GB2312" w:hAnsi="仿宋_GB2312" w:eastAsia="仿宋_GB2312" w:cs="仿宋_GB2312"/>
          <w:bCs/>
          <w:sz w:val="24"/>
          <w:highlight w:val="none"/>
        </w:rPr>
        <w:t xml:space="preserve">一次性验收         </w:t>
      </w:r>
    </w:p>
    <w:p w14:paraId="0FA98413">
      <w:pPr>
        <w:adjustRightInd w:val="0"/>
        <w:snapToGrid w:val="0"/>
        <w:spacing w:line="360" w:lineRule="exact"/>
        <w:rPr>
          <w:rFonts w:ascii="仿宋_GB2312" w:hAnsi="仿宋_GB2312" w:eastAsia="仿宋_GB2312" w:cs="仿宋_GB2312"/>
          <w:bCs/>
          <w:sz w:val="24"/>
          <w:highlight w:val="none"/>
        </w:rPr>
      </w:pPr>
      <w:r>
        <w:rPr>
          <w:rFonts w:hint="eastAsia" w:ascii="仿宋_GB2312" w:hAnsi="仿宋_GB2312" w:eastAsia="仿宋_GB2312" w:cs="仿宋_GB2312"/>
          <w:bCs/>
          <w:sz w:val="24"/>
          <w:highlight w:val="none"/>
        </w:rPr>
        <w:t xml:space="preserve">                       </w:t>
      </w:r>
      <w:r>
        <w:rPr>
          <w:rFonts w:hint="eastAsia" w:ascii="仿宋_GB2312" w:hAnsi="仿宋_GB2312" w:eastAsia="仿宋_GB2312" w:cs="仿宋_GB2312"/>
          <w:sz w:val="24"/>
          <w:highlight w:val="none"/>
        </w:rPr>
        <w:sym w:font="Wingdings" w:char="00FE"/>
      </w:r>
      <w:r>
        <w:rPr>
          <w:rFonts w:hint="eastAsia" w:ascii="仿宋_GB2312" w:hAnsi="仿宋_GB2312" w:eastAsia="仿宋_GB2312" w:cs="仿宋_GB2312"/>
          <w:bCs/>
          <w:sz w:val="24"/>
          <w:highlight w:val="none"/>
        </w:rPr>
        <w:t>分期/分项验收：</w:t>
      </w:r>
      <w:r>
        <w:rPr>
          <w:rFonts w:hint="eastAsia" w:ascii="仿宋_GB2312" w:hAnsi="仿宋_GB2312" w:eastAsia="仿宋_GB2312" w:cs="仿宋_GB2312"/>
          <w:bCs/>
          <w:sz w:val="24"/>
          <w:highlight w:val="none"/>
          <w:u w:val="single"/>
        </w:rPr>
        <w:t xml:space="preserve"> </w:t>
      </w:r>
      <w:r>
        <w:rPr>
          <w:rFonts w:hint="eastAsia" w:ascii="仿宋_GB2312" w:hAnsi="仿宋_GB2312" w:eastAsia="仿宋_GB2312" w:cs="仿宋_GB2312"/>
          <w:bCs/>
          <w:sz w:val="24"/>
          <w:highlight w:val="none"/>
          <w:u w:val="single"/>
          <w:lang w:val="en-US" w:eastAsia="zh-CN"/>
        </w:rPr>
        <w:t>按耗材品类、到货批次分批次分项验收，甲方医疗设备科分批次通知验收，单批次到货完成现场验收合格后签署对应批次验收单。</w:t>
      </w:r>
    </w:p>
    <w:p w14:paraId="7D9E836E">
      <w:pPr>
        <w:numPr>
          <w:ilvl w:val="0"/>
          <w:numId w:val="4"/>
        </w:numPr>
        <w:adjustRightInd w:val="0"/>
        <w:snapToGrid w:val="0"/>
        <w:spacing w:line="360" w:lineRule="exact"/>
        <w:ind w:firstLine="480" w:firstLineChars="200"/>
        <w:rPr>
          <w:rFonts w:ascii="仿宋_GB2312" w:hAnsi="仿宋_GB2312" w:eastAsia="仿宋_GB2312" w:cs="仿宋_GB2312"/>
          <w:bCs/>
          <w:sz w:val="24"/>
          <w:highlight w:val="none"/>
          <w:u w:val="single"/>
        </w:rPr>
      </w:pPr>
      <w:r>
        <w:rPr>
          <w:rFonts w:hint="eastAsia" w:ascii="仿宋_GB2312" w:hAnsi="仿宋_GB2312" w:eastAsia="仿宋_GB2312" w:cs="仿宋_GB2312"/>
          <w:bCs/>
          <w:sz w:val="24"/>
          <w:highlight w:val="none"/>
        </w:rPr>
        <w:t>履约验收程序：</w:t>
      </w:r>
      <w:r>
        <w:rPr>
          <w:rFonts w:hint="eastAsia" w:ascii="仿宋_GB2312" w:hAnsi="仿宋_GB2312" w:eastAsia="仿宋_GB2312" w:cs="仿宋_GB2312"/>
          <w:bCs/>
          <w:sz w:val="24"/>
          <w:highlight w:val="none"/>
          <w:u w:val="single"/>
        </w:rPr>
        <w:t xml:space="preserve"> 甲方医疗设备科主持，与使用科室及乙方共同验收。验收标准要符合甲方与乙方签订的经济合同，符合国家有关技术规范和标准。所有运输、验收的手续及费用由乙方自行办理和承担，甲方提供相关辅助。</w:t>
      </w:r>
      <w:r>
        <w:rPr>
          <w:rFonts w:hint="eastAsia" w:ascii="仿宋_GB2312" w:hAnsi="仿宋_GB2312" w:eastAsia="仿宋_GB2312" w:cs="仿宋_GB2312"/>
          <w:bCs/>
          <w:sz w:val="24"/>
          <w:highlight w:val="none"/>
          <w:u w:val="single"/>
          <w:lang w:val="en-US" w:eastAsia="zh-CN"/>
        </w:rPr>
        <w:t xml:space="preserve">             </w:t>
      </w:r>
    </w:p>
    <w:p w14:paraId="590245B4">
      <w:pPr>
        <w:adjustRightInd w:val="0"/>
        <w:snapToGrid w:val="0"/>
        <w:spacing w:line="360" w:lineRule="exact"/>
        <w:ind w:firstLine="480" w:firstLineChars="200"/>
        <w:rPr>
          <w:rFonts w:hint="eastAsia" w:ascii="仿宋_GB2312" w:hAnsi="仿宋_GB2312" w:eastAsia="仿宋_GB2312" w:cs="仿宋_GB2312"/>
          <w:bCs/>
          <w:sz w:val="24"/>
          <w:highlight w:val="none"/>
          <w:u w:val="single"/>
        </w:rPr>
      </w:pPr>
      <w:r>
        <w:rPr>
          <w:rFonts w:hint="eastAsia" w:ascii="仿宋_GB2312" w:hAnsi="仿宋_GB2312" w:eastAsia="仿宋_GB2312" w:cs="仿宋_GB2312"/>
          <w:bCs/>
          <w:sz w:val="24"/>
          <w:highlight w:val="none"/>
          <w:lang w:eastAsia="zh-CN"/>
        </w:rPr>
        <w:t>（</w:t>
      </w:r>
      <w:r>
        <w:rPr>
          <w:rFonts w:hint="eastAsia" w:ascii="仿宋_GB2312" w:hAnsi="仿宋_GB2312" w:eastAsia="仿宋_GB2312" w:cs="仿宋_GB2312"/>
          <w:bCs/>
          <w:sz w:val="24"/>
          <w:highlight w:val="none"/>
          <w:lang w:val="en-US" w:eastAsia="zh-CN"/>
        </w:rPr>
        <w:t>5</w:t>
      </w:r>
      <w:r>
        <w:rPr>
          <w:rFonts w:hint="eastAsia" w:ascii="仿宋_GB2312" w:hAnsi="仿宋_GB2312" w:eastAsia="仿宋_GB2312" w:cs="仿宋_GB2312"/>
          <w:bCs/>
          <w:sz w:val="24"/>
          <w:highlight w:val="none"/>
          <w:lang w:eastAsia="zh-CN"/>
        </w:rPr>
        <w:t>）</w:t>
      </w:r>
      <w:r>
        <w:rPr>
          <w:rFonts w:hint="eastAsia" w:ascii="仿宋_GB2312" w:hAnsi="仿宋_GB2312" w:eastAsia="仿宋_GB2312" w:cs="仿宋_GB2312"/>
          <w:bCs/>
          <w:sz w:val="24"/>
          <w:highlight w:val="none"/>
        </w:rPr>
        <w:t>履约验收的内容：</w:t>
      </w:r>
      <w:r>
        <w:rPr>
          <w:rFonts w:hint="eastAsia" w:ascii="仿宋_GB2312" w:hAnsi="仿宋_GB2312" w:eastAsia="仿宋_GB2312" w:cs="仿宋_GB2312"/>
          <w:bCs/>
          <w:sz w:val="24"/>
          <w:highlight w:val="none"/>
          <w:u w:val="single"/>
        </w:rPr>
        <w:t xml:space="preserve"> 1. 对耗材进行相关技术和质量验收。其内容包括确认购进产品的企业名称、产品名称、型号规格、产品数量、生产批号、灭菌批号（消毒或灭菌日期）、产品有效期、产地、合格证书、注册证号、产品编号等，并对其产品技术指标、性能参数进行逐项检查。</w:t>
      </w:r>
    </w:p>
    <w:p w14:paraId="638B240C">
      <w:pPr>
        <w:adjustRightInd w:val="0"/>
        <w:snapToGrid w:val="0"/>
        <w:spacing w:line="360" w:lineRule="exact"/>
        <w:ind w:firstLine="480" w:firstLineChars="200"/>
        <w:rPr>
          <w:rFonts w:hint="eastAsia" w:ascii="仿宋_GB2312" w:hAnsi="仿宋_GB2312" w:eastAsia="仿宋_GB2312" w:cs="仿宋_GB2312"/>
          <w:bCs/>
          <w:sz w:val="24"/>
          <w:highlight w:val="none"/>
          <w:u w:val="single"/>
          <w:lang w:val="en-US" w:eastAsia="zh-CN"/>
        </w:rPr>
      </w:pPr>
      <w:r>
        <w:rPr>
          <w:rFonts w:hint="eastAsia" w:ascii="仿宋_GB2312" w:hAnsi="仿宋_GB2312" w:eastAsia="仿宋_GB2312" w:cs="仿宋_GB2312"/>
          <w:bCs/>
          <w:sz w:val="24"/>
          <w:highlight w:val="none"/>
          <w:u w:val="single"/>
        </w:rPr>
        <w:t>2. 经验收达不到招标文件要求或在使用中发现甲方不能容忍的缺陷，乙方应免费更换或退货，情况不能有效控制的，甲方有权终止合同，取消乙方的供货资格，且可按本协议的违约责任条款对乙方行为进行追究。</w:t>
      </w:r>
      <w:r>
        <w:rPr>
          <w:rFonts w:hint="eastAsia" w:ascii="仿宋_GB2312" w:hAnsi="仿宋_GB2312" w:eastAsia="仿宋_GB2312" w:cs="仿宋_GB2312"/>
          <w:bCs/>
          <w:sz w:val="24"/>
          <w:highlight w:val="none"/>
          <w:u w:val="single"/>
          <w:lang w:val="en-US" w:eastAsia="zh-CN"/>
        </w:rPr>
        <w:t xml:space="preserve">             </w:t>
      </w:r>
    </w:p>
    <w:p w14:paraId="18265148">
      <w:pPr>
        <w:adjustRightInd w:val="0"/>
        <w:snapToGrid w:val="0"/>
        <w:spacing w:line="360" w:lineRule="exact"/>
        <w:ind w:firstLine="480" w:firstLineChars="200"/>
        <w:rPr>
          <w:rFonts w:hint="default" w:ascii="仿宋_GB2312" w:hAnsi="仿宋_GB2312" w:eastAsia="仿宋_GB2312" w:cs="仿宋_GB2312"/>
          <w:bCs/>
          <w:sz w:val="24"/>
          <w:highlight w:val="none"/>
          <w:u w:val="single"/>
          <w:lang w:val="en-US" w:eastAsia="zh-CN"/>
        </w:rPr>
      </w:pPr>
      <w:r>
        <w:rPr>
          <w:rFonts w:hint="eastAsia" w:ascii="仿宋_GB2312" w:hAnsi="仿宋_GB2312" w:eastAsia="仿宋_GB2312" w:cs="仿宋_GB2312"/>
          <w:bCs/>
          <w:sz w:val="24"/>
          <w:highlight w:val="none"/>
        </w:rPr>
        <w:t>（6）履约验收标准：</w:t>
      </w:r>
      <w:r>
        <w:rPr>
          <w:rFonts w:hint="eastAsia" w:ascii="仿宋_GB2312" w:hAnsi="仿宋_GB2312" w:eastAsia="仿宋_GB2312" w:cs="仿宋_GB2312"/>
          <w:bCs/>
          <w:sz w:val="24"/>
          <w:highlight w:val="none"/>
          <w:u w:val="single"/>
        </w:rPr>
        <w:t xml:space="preserve"> （1）符合采购人与成交供应商签订的经济合同（2）符合国家有关技术规范和标准。</w:t>
      </w:r>
    </w:p>
    <w:p w14:paraId="0C437CF3">
      <w:pPr>
        <w:pStyle w:val="21"/>
        <w:spacing w:line="360" w:lineRule="exact"/>
        <w:ind w:firstLine="480"/>
        <w:rPr>
          <w:rFonts w:ascii="仿宋_GB2312" w:hAnsi="仿宋_GB2312" w:eastAsia="仿宋_GB2312" w:cs="仿宋_GB2312"/>
          <w:sz w:val="24"/>
          <w:szCs w:val="24"/>
          <w:highlight w:val="none"/>
        </w:rPr>
      </w:pPr>
      <w:r>
        <w:rPr>
          <w:rFonts w:hint="eastAsia" w:ascii="仿宋_GB2312" w:hAnsi="仿宋_GB2312" w:eastAsia="仿宋_GB2312" w:cs="仿宋_GB2312"/>
          <w:bCs/>
          <w:sz w:val="24"/>
          <w:szCs w:val="24"/>
          <w:highlight w:val="none"/>
        </w:rPr>
        <w:t>（7）是否以采购活动中供应商提供的样品作为参考：</w:t>
      </w:r>
      <w:r>
        <w:rPr>
          <w:rFonts w:hint="eastAsia" w:ascii="仿宋_GB2312" w:hAnsi="仿宋_GB2312" w:eastAsia="仿宋_GB2312" w:cs="仿宋_GB2312"/>
          <w:sz w:val="24"/>
          <w:szCs w:val="24"/>
          <w:highlight w:val="none"/>
        </w:rPr>
        <w:sym w:font="Wingdings" w:char="00FE"/>
      </w:r>
      <w:r>
        <w:rPr>
          <w:rFonts w:hint="eastAsia" w:ascii="仿宋_GB2312" w:hAnsi="仿宋_GB2312" w:eastAsia="仿宋_GB2312" w:cs="仿宋_GB2312"/>
          <w:bCs/>
          <w:sz w:val="24"/>
          <w:szCs w:val="24"/>
          <w:highlight w:val="none"/>
        </w:rPr>
        <w:t xml:space="preserve">是  </w:t>
      </w:r>
      <w:r>
        <w:rPr>
          <w:rFonts w:hint="eastAsia" w:ascii="仿宋_GB2312" w:hAnsi="仿宋_GB2312" w:eastAsia="仿宋_GB2312" w:cs="仿宋_GB2312"/>
          <w:sz w:val="24"/>
          <w:szCs w:val="24"/>
          <w:highlight w:val="none"/>
        </w:rPr>
        <w:sym w:font="Wingdings" w:char="00A8"/>
      </w:r>
      <w:r>
        <w:rPr>
          <w:rFonts w:hint="eastAsia" w:ascii="仿宋_GB2312" w:hAnsi="仿宋_GB2312" w:eastAsia="仿宋_GB2312" w:cs="仿宋_GB2312"/>
          <w:bCs/>
          <w:sz w:val="24"/>
          <w:szCs w:val="24"/>
          <w:highlight w:val="none"/>
        </w:rPr>
        <w:t>否</w:t>
      </w:r>
    </w:p>
    <w:p w14:paraId="0025CF97">
      <w:pPr>
        <w:adjustRightInd w:val="0"/>
        <w:snapToGrid w:val="0"/>
        <w:spacing w:line="360" w:lineRule="exact"/>
        <w:ind w:firstLine="480" w:firstLineChars="200"/>
        <w:rPr>
          <w:rFonts w:hint="eastAsia" w:ascii="仿宋_GB2312" w:hAnsi="仿宋_GB2312" w:eastAsia="仿宋_GB2312" w:cs="仿宋_GB2312"/>
          <w:bCs/>
          <w:sz w:val="24"/>
          <w:highlight w:val="none"/>
          <w:u w:val="single"/>
        </w:rPr>
      </w:pPr>
      <w:r>
        <w:rPr>
          <w:rFonts w:hint="eastAsia" w:ascii="仿宋_GB2312" w:hAnsi="仿宋_GB2312" w:eastAsia="仿宋_GB2312" w:cs="仿宋_GB2312"/>
          <w:bCs/>
          <w:sz w:val="24"/>
          <w:highlight w:val="none"/>
        </w:rPr>
        <w:t>（8）履约验收其他事项：</w:t>
      </w:r>
      <w:r>
        <w:rPr>
          <w:rFonts w:hint="eastAsia" w:ascii="仿宋_GB2312" w:hAnsi="仿宋_GB2312" w:eastAsia="仿宋_GB2312" w:cs="仿宋_GB2312"/>
          <w:bCs/>
          <w:sz w:val="24"/>
          <w:highlight w:val="none"/>
          <w:u w:val="single"/>
        </w:rPr>
        <w:t>所有运输、验收的手续及费用由</w:t>
      </w:r>
      <w:r>
        <w:rPr>
          <w:rFonts w:hint="eastAsia" w:ascii="仿宋_GB2312" w:hAnsi="仿宋_GB2312" w:eastAsia="仿宋_GB2312" w:cs="仿宋_GB2312"/>
          <w:bCs/>
          <w:sz w:val="24"/>
          <w:highlight w:val="none"/>
          <w:u w:val="single"/>
          <w:lang w:val="en-US" w:eastAsia="zh-CN"/>
        </w:rPr>
        <w:t>乙方</w:t>
      </w:r>
      <w:r>
        <w:rPr>
          <w:rFonts w:hint="eastAsia" w:ascii="仿宋_GB2312" w:hAnsi="仿宋_GB2312" w:eastAsia="仿宋_GB2312" w:cs="仿宋_GB2312"/>
          <w:bCs/>
          <w:sz w:val="24"/>
          <w:highlight w:val="none"/>
          <w:u w:val="single"/>
        </w:rPr>
        <w:t>自行办理和承担，</w:t>
      </w:r>
      <w:r>
        <w:rPr>
          <w:rFonts w:hint="eastAsia" w:ascii="仿宋_GB2312" w:hAnsi="仿宋_GB2312" w:eastAsia="仿宋_GB2312" w:cs="仿宋_GB2312"/>
          <w:bCs/>
          <w:sz w:val="24"/>
          <w:highlight w:val="none"/>
          <w:u w:val="single"/>
          <w:lang w:val="en-US" w:eastAsia="zh-CN"/>
        </w:rPr>
        <w:t>甲方</w:t>
      </w:r>
      <w:r>
        <w:rPr>
          <w:rFonts w:hint="eastAsia" w:ascii="仿宋_GB2312" w:hAnsi="仿宋_GB2312" w:eastAsia="仿宋_GB2312" w:cs="仿宋_GB2312"/>
          <w:bCs/>
          <w:sz w:val="24"/>
          <w:highlight w:val="none"/>
          <w:u w:val="single"/>
        </w:rPr>
        <w:t>提供相关辅助。</w:t>
      </w:r>
    </w:p>
    <w:p w14:paraId="1BE3DD88">
      <w:pPr>
        <w:adjustRightInd w:val="0"/>
        <w:snapToGrid w:val="0"/>
        <w:spacing w:line="360" w:lineRule="exact"/>
        <w:ind w:firstLine="482" w:firstLineChars="200"/>
        <w:rPr>
          <w:rFonts w:hint="eastAsia" w:ascii="仿宋_GB2312" w:hAnsi="仿宋_GB2312" w:eastAsia="仿宋_GB2312" w:cs="仿宋_GB2312"/>
          <w:b/>
          <w:sz w:val="24"/>
          <w:highlight w:val="none"/>
          <w:lang w:val="en-US" w:eastAsia="zh-CN"/>
        </w:rPr>
      </w:pPr>
      <w:r>
        <w:rPr>
          <w:rFonts w:hint="eastAsia" w:ascii="仿宋_GB2312" w:hAnsi="仿宋_GB2312" w:eastAsia="仿宋_GB2312" w:cs="仿宋_GB2312"/>
          <w:b/>
          <w:sz w:val="24"/>
          <w:highlight w:val="none"/>
          <w:lang w:val="en-US" w:eastAsia="zh-CN"/>
        </w:rPr>
        <w:t>5.其他</w:t>
      </w:r>
    </w:p>
    <w:p w14:paraId="0F4A5C50">
      <w:pPr>
        <w:adjustRightInd w:val="0"/>
        <w:snapToGrid w:val="0"/>
        <w:spacing w:line="360" w:lineRule="exact"/>
        <w:ind w:firstLine="480" w:firstLineChars="200"/>
        <w:rPr>
          <w:rFonts w:hint="default" w:ascii="仿宋_GB2312" w:hAnsi="仿宋_GB2312" w:eastAsia="仿宋_GB2312" w:cs="仿宋_GB2312"/>
          <w:sz w:val="24"/>
          <w:highlight w:val="none"/>
          <w:lang w:val="en-US" w:eastAsia="zh-CN"/>
        </w:rPr>
      </w:pPr>
      <w:r>
        <w:rPr>
          <w:rFonts w:hint="default" w:ascii="仿宋_GB2312" w:hAnsi="仿宋_GB2312" w:eastAsia="仿宋_GB2312" w:cs="仿宋_GB2312"/>
          <w:sz w:val="24"/>
          <w:highlight w:val="none"/>
          <w:lang w:val="en-US" w:eastAsia="zh-CN"/>
        </w:rPr>
        <w:t>1.耗材进院后的有效期不小于 12个月，近效期产品无条件更换。</w:t>
      </w:r>
    </w:p>
    <w:p w14:paraId="16992264">
      <w:pPr>
        <w:adjustRightInd w:val="0"/>
        <w:snapToGrid w:val="0"/>
        <w:spacing w:line="360" w:lineRule="exact"/>
        <w:ind w:firstLine="480" w:firstLineChars="200"/>
        <w:rPr>
          <w:rFonts w:hint="default" w:ascii="仿宋_GB2312" w:hAnsi="仿宋_GB2312" w:eastAsia="仿宋_GB2312" w:cs="仿宋_GB2312"/>
          <w:sz w:val="24"/>
          <w:highlight w:val="none"/>
          <w:lang w:val="en-US" w:eastAsia="zh-CN"/>
        </w:rPr>
      </w:pPr>
      <w:r>
        <w:rPr>
          <w:rFonts w:hint="default" w:ascii="仿宋_GB2312" w:hAnsi="仿宋_GB2312" w:eastAsia="仿宋_GB2312" w:cs="仿宋_GB2312"/>
          <w:sz w:val="24"/>
          <w:highlight w:val="none"/>
          <w:lang w:val="en-US" w:eastAsia="zh-CN"/>
        </w:rPr>
        <w:t>2.培训操作人员。</w:t>
      </w:r>
    </w:p>
    <w:p w14:paraId="08E8082A">
      <w:pPr>
        <w:adjustRightInd w:val="0"/>
        <w:snapToGrid w:val="0"/>
        <w:spacing w:line="360" w:lineRule="exact"/>
        <w:ind w:firstLine="480" w:firstLineChars="200"/>
        <w:rPr>
          <w:rFonts w:hint="default" w:ascii="仿宋_GB2312" w:hAnsi="仿宋_GB2312" w:eastAsia="仿宋_GB2312" w:cs="仿宋_GB2312"/>
          <w:sz w:val="24"/>
          <w:highlight w:val="none"/>
          <w:lang w:val="en-US" w:eastAsia="zh-CN"/>
        </w:rPr>
      </w:pPr>
      <w:r>
        <w:rPr>
          <w:rFonts w:hint="default" w:ascii="仿宋_GB2312" w:hAnsi="仿宋_GB2312" w:eastAsia="仿宋_GB2312" w:cs="仿宋_GB2312"/>
          <w:sz w:val="24"/>
          <w:highlight w:val="none"/>
          <w:lang w:val="en-US" w:eastAsia="zh-CN"/>
        </w:rPr>
        <w:t>3.技术支持响应时间 2小时，必要时 24 小时到位。</w:t>
      </w:r>
    </w:p>
    <w:p w14:paraId="32A35EE2">
      <w:pPr>
        <w:numPr>
          <w:ilvl w:val="0"/>
          <w:numId w:val="0"/>
        </w:numPr>
        <w:adjustRightInd w:val="0"/>
        <w:snapToGrid w:val="0"/>
        <w:spacing w:line="360" w:lineRule="exact"/>
        <w:ind w:firstLine="482" w:firstLineChars="200"/>
        <w:rPr>
          <w:rFonts w:ascii="仿宋_GB2312" w:hAnsi="仿宋_GB2312" w:eastAsia="仿宋_GB2312" w:cs="仿宋_GB2312"/>
          <w:b/>
          <w:sz w:val="24"/>
          <w:highlight w:val="none"/>
        </w:rPr>
      </w:pPr>
      <w:r>
        <w:rPr>
          <w:rFonts w:hint="eastAsia" w:ascii="仿宋_GB2312" w:hAnsi="仿宋_GB2312" w:eastAsia="仿宋_GB2312" w:cs="仿宋_GB2312"/>
          <w:b/>
          <w:kern w:val="2"/>
          <w:sz w:val="24"/>
          <w:highlight w:val="none"/>
          <w:lang w:val="en-US" w:eastAsia="zh-CN" w:bidi="ar-SA"/>
        </w:rPr>
        <w:t>6</w:t>
      </w:r>
      <w:r>
        <w:rPr>
          <w:rFonts w:ascii="仿宋_GB2312" w:hAnsi="仿宋_GB2312" w:eastAsia="仿宋_GB2312" w:cs="仿宋_GB2312"/>
          <w:b/>
          <w:kern w:val="2"/>
          <w:sz w:val="24"/>
          <w:highlight w:val="none"/>
          <w:lang w:val="en-US" w:eastAsia="zh-CN" w:bidi="ar-SA"/>
        </w:rPr>
        <w:t>.</w:t>
      </w:r>
      <w:r>
        <w:rPr>
          <w:rFonts w:hint="eastAsia" w:ascii="仿宋_GB2312" w:hAnsi="仿宋_GB2312" w:eastAsia="仿宋_GB2312" w:cs="仿宋_GB2312"/>
          <w:b/>
          <w:sz w:val="24"/>
          <w:highlight w:val="none"/>
        </w:rPr>
        <w:t>组成合同的文件</w:t>
      </w:r>
    </w:p>
    <w:p w14:paraId="6D5E51BF">
      <w:pPr>
        <w:adjustRightInd w:val="0"/>
        <w:snapToGrid w:val="0"/>
        <w:spacing w:line="360" w:lineRule="exact"/>
        <w:ind w:firstLine="480" w:firstLineChars="200"/>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本协议书与下列文件一起构成合同文件，如下述文件之间有任何抵触、矛盾或歧义，应按以下顺序解释：</w:t>
      </w:r>
    </w:p>
    <w:p w14:paraId="140DED9F">
      <w:pPr>
        <w:adjustRightInd w:val="0"/>
        <w:snapToGrid w:val="0"/>
        <w:spacing w:line="360" w:lineRule="exact"/>
        <w:ind w:firstLine="480" w:firstLineChars="200"/>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（1）政府采购合同协议书及其变更、补充协议</w:t>
      </w:r>
    </w:p>
    <w:p w14:paraId="30EADB9A">
      <w:pPr>
        <w:adjustRightInd w:val="0"/>
        <w:snapToGrid w:val="0"/>
        <w:spacing w:line="360" w:lineRule="exact"/>
        <w:ind w:firstLine="480" w:firstLineChars="200"/>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（2）政府采购合同专用条款</w:t>
      </w:r>
    </w:p>
    <w:p w14:paraId="4BD257CD">
      <w:pPr>
        <w:adjustRightInd w:val="0"/>
        <w:snapToGrid w:val="0"/>
        <w:spacing w:line="360" w:lineRule="exact"/>
        <w:ind w:firstLine="480" w:firstLineChars="200"/>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（3）政府采购合同通用条款</w:t>
      </w:r>
    </w:p>
    <w:p w14:paraId="6DC4DDDD">
      <w:pPr>
        <w:adjustRightInd w:val="0"/>
        <w:snapToGrid w:val="0"/>
        <w:spacing w:line="360" w:lineRule="exact"/>
        <w:ind w:firstLine="480" w:firstLineChars="200"/>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（4）中标（成交）通知书</w:t>
      </w:r>
    </w:p>
    <w:p w14:paraId="52B4BB1B">
      <w:pPr>
        <w:adjustRightInd w:val="0"/>
        <w:snapToGrid w:val="0"/>
        <w:spacing w:line="360" w:lineRule="exact"/>
        <w:ind w:firstLine="480" w:firstLineChars="200"/>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（5）投标（响应）文件</w:t>
      </w:r>
    </w:p>
    <w:p w14:paraId="1FC29AFD">
      <w:pPr>
        <w:adjustRightInd w:val="0"/>
        <w:snapToGrid w:val="0"/>
        <w:spacing w:line="360" w:lineRule="exact"/>
        <w:ind w:firstLine="480" w:firstLineChars="200"/>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（6）采购文件</w:t>
      </w:r>
    </w:p>
    <w:p w14:paraId="3E68110A">
      <w:pPr>
        <w:adjustRightInd w:val="0"/>
        <w:snapToGrid w:val="0"/>
        <w:spacing w:line="360" w:lineRule="exact"/>
        <w:ind w:firstLine="480" w:firstLineChars="200"/>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（7）有关技术文件，图纸</w:t>
      </w:r>
    </w:p>
    <w:p w14:paraId="3F9A3F75">
      <w:pPr>
        <w:pStyle w:val="21"/>
        <w:spacing w:line="360" w:lineRule="exact"/>
        <w:ind w:firstLine="480"/>
        <w:rPr>
          <w:rFonts w:hint="eastAsia" w:ascii="仿宋_GB2312" w:hAnsi="仿宋_GB2312" w:eastAsia="仿宋_GB2312" w:cs="仿宋_GB2312"/>
          <w:color w:val="000000" w:themeColor="text1"/>
          <w:kern w:val="2"/>
          <w:sz w:val="24"/>
          <w:szCs w:val="24"/>
          <w:highlight w:val="none"/>
          <w14:textFill>
            <w14:solidFill>
              <w14:schemeClr w14:val="tx1"/>
            </w14:solidFill>
          </w14:textFill>
        </w:rPr>
      </w:pPr>
      <w:r>
        <w:rPr>
          <w:rFonts w:hint="eastAsia" w:ascii="仿宋_GB2312" w:hAnsi="仿宋_GB2312" w:eastAsia="仿宋_GB2312" w:cs="仿宋_GB2312"/>
          <w:sz w:val="24"/>
          <w:szCs w:val="24"/>
          <w:highlight w:val="none"/>
        </w:rPr>
        <w:t>（8）</w:t>
      </w:r>
      <w:r>
        <w:rPr>
          <w:rFonts w:hint="eastAsia" w:ascii="仿宋_GB2312" w:hAnsi="仿宋_GB2312" w:eastAsia="仿宋_GB2312" w:cs="仿宋_GB2312"/>
          <w:color w:val="000000" w:themeColor="text1"/>
          <w:kern w:val="2"/>
          <w:sz w:val="24"/>
          <w:szCs w:val="24"/>
          <w:highlight w:val="none"/>
          <w14:textFill>
            <w14:solidFill>
              <w14:schemeClr w14:val="tx1"/>
            </w14:solidFill>
          </w14:textFill>
        </w:rPr>
        <w:t>国家法律、行政法规和规章制度规定或合同约定的作为合同组成部分的其他文件</w:t>
      </w:r>
    </w:p>
    <w:p w14:paraId="4129B449">
      <w:pPr>
        <w:spacing w:line="360" w:lineRule="auto"/>
        <w:ind w:firstLine="482" w:firstLineChars="200"/>
        <w:rPr>
          <w:rFonts w:ascii="仿宋" w:hAnsi="仿宋" w:eastAsia="仿宋" w:cs="仿宋"/>
          <w:b/>
          <w:sz w:val="24"/>
          <w:highlight w:val="none"/>
        </w:rPr>
      </w:pPr>
      <w:r>
        <w:rPr>
          <w:rFonts w:hint="eastAsia" w:ascii="仿宋" w:hAnsi="仿宋" w:eastAsia="仿宋" w:cs="仿宋"/>
          <w:b/>
          <w:sz w:val="24"/>
          <w:highlight w:val="none"/>
          <w:lang w:val="en-US" w:eastAsia="zh-CN"/>
        </w:rPr>
        <w:t>7</w:t>
      </w:r>
      <w:r>
        <w:rPr>
          <w:rFonts w:hint="eastAsia" w:ascii="仿宋" w:hAnsi="仿宋" w:eastAsia="仿宋" w:cs="仿宋"/>
          <w:b/>
          <w:sz w:val="24"/>
          <w:highlight w:val="none"/>
        </w:rPr>
        <w:t>.其他</w:t>
      </w:r>
    </w:p>
    <w:p w14:paraId="38F69FA3">
      <w:pPr>
        <w:adjustRightInd w:val="0"/>
        <w:snapToGrid w:val="0"/>
        <w:spacing w:line="360" w:lineRule="exact"/>
        <w:ind w:firstLine="480" w:firstLineChars="200"/>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1.本合同</w:t>
      </w:r>
      <w:r>
        <w:rPr>
          <w:rFonts w:hint="eastAsia" w:ascii="仿宋_GB2312" w:hAnsi="仿宋_GB2312" w:eastAsia="仿宋_GB2312" w:cs="仿宋_GB2312"/>
          <w:sz w:val="24"/>
          <w:highlight w:val="none"/>
          <w:lang w:eastAsia="zh-CN"/>
        </w:rPr>
        <w:t>（</w:t>
      </w:r>
      <w:r>
        <w:rPr>
          <w:rFonts w:hint="eastAsia" w:ascii="仿宋_GB2312" w:hAnsi="仿宋_GB2312" w:eastAsia="仿宋_GB2312" w:cs="仿宋_GB2312"/>
          <w:sz w:val="24"/>
          <w:highlight w:val="none"/>
          <w:lang w:val="en-US" w:eastAsia="zh-CN"/>
        </w:rPr>
        <w:t>含附件</w:t>
      </w:r>
      <w:r>
        <w:rPr>
          <w:rFonts w:hint="eastAsia" w:ascii="仿宋_GB2312" w:hAnsi="仿宋_GB2312" w:eastAsia="仿宋_GB2312" w:cs="仿宋_GB2312"/>
          <w:sz w:val="24"/>
          <w:highlight w:val="none"/>
          <w:lang w:eastAsia="zh-CN"/>
        </w:rPr>
        <w:t>）</w:t>
      </w:r>
      <w:r>
        <w:rPr>
          <w:rFonts w:hint="eastAsia" w:ascii="仿宋_GB2312" w:hAnsi="仿宋_GB2312" w:eastAsia="仿宋_GB2312" w:cs="仿宋_GB2312"/>
          <w:sz w:val="24"/>
          <w:highlight w:val="none"/>
        </w:rPr>
        <w:t>一式肆份，甲方叁份，乙方壹份，自双方法定代表人签字或盖章，并加盖公章之日起生效。</w:t>
      </w:r>
    </w:p>
    <w:p w14:paraId="78855155">
      <w:pPr>
        <w:adjustRightInd w:val="0"/>
        <w:snapToGrid w:val="0"/>
        <w:spacing w:line="360" w:lineRule="exact"/>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2.招标文件、投标文件也是合同的组成部分，具有同等法律效力，合同中</w:t>
      </w:r>
      <w:r>
        <w:rPr>
          <w:rFonts w:hint="eastAsia" w:ascii="仿宋_GB2312" w:hAnsi="仿宋_GB2312" w:eastAsia="仿宋_GB2312" w:cs="仿宋_GB2312"/>
          <w:sz w:val="24"/>
          <w:highlight w:val="none"/>
          <w:lang w:eastAsia="zh-CN"/>
        </w:rPr>
        <w:t>（</w:t>
      </w:r>
      <w:r>
        <w:rPr>
          <w:rFonts w:hint="eastAsia" w:ascii="仿宋_GB2312" w:hAnsi="仿宋_GB2312" w:eastAsia="仿宋_GB2312" w:cs="仿宋_GB2312"/>
          <w:sz w:val="24"/>
          <w:highlight w:val="none"/>
          <w:lang w:val="en-US" w:eastAsia="zh-CN"/>
        </w:rPr>
        <w:t>含附件</w:t>
      </w:r>
      <w:r>
        <w:rPr>
          <w:rFonts w:hint="eastAsia" w:ascii="仿宋_GB2312" w:hAnsi="仿宋_GB2312" w:eastAsia="仿宋_GB2312" w:cs="仿宋_GB2312"/>
          <w:sz w:val="24"/>
          <w:highlight w:val="none"/>
          <w:lang w:eastAsia="zh-CN"/>
        </w:rPr>
        <w:t>）</w:t>
      </w:r>
      <w:r>
        <w:rPr>
          <w:rFonts w:hint="eastAsia" w:ascii="仿宋_GB2312" w:hAnsi="仿宋_GB2312" w:eastAsia="仿宋_GB2312" w:cs="仿宋_GB2312"/>
          <w:sz w:val="24"/>
          <w:highlight w:val="none"/>
        </w:rPr>
        <w:t>未约定的或不一致的以招标文件、投标文件为准</w:t>
      </w:r>
      <w:r>
        <w:rPr>
          <w:rFonts w:hint="eastAsia" w:ascii="仿宋_GB2312" w:hAnsi="仿宋_GB2312" w:eastAsia="仿宋_GB2312" w:cs="仿宋_GB2312"/>
          <w:sz w:val="24"/>
          <w:highlight w:val="none"/>
          <w:lang w:eastAsia="zh-CN"/>
        </w:rPr>
        <w:t>；</w:t>
      </w:r>
      <w:r>
        <w:rPr>
          <w:rFonts w:hint="eastAsia" w:ascii="仿宋_GB2312" w:hAnsi="仿宋_GB2312" w:eastAsia="仿宋_GB2312" w:cs="仿宋_GB2312"/>
          <w:sz w:val="24"/>
          <w:highlight w:val="none"/>
          <w:lang w:val="en-US" w:eastAsia="zh-CN"/>
        </w:rPr>
        <w:t>当投标文件标准优于招标文件要求时，应以投标文件为准</w:t>
      </w:r>
      <w:r>
        <w:rPr>
          <w:rFonts w:hint="eastAsia" w:ascii="仿宋_GB2312" w:hAnsi="仿宋_GB2312" w:eastAsia="仿宋_GB2312" w:cs="仿宋_GB2312"/>
          <w:sz w:val="24"/>
          <w:highlight w:val="none"/>
        </w:rPr>
        <w:t>。</w:t>
      </w:r>
    </w:p>
    <w:p w14:paraId="637CD56F">
      <w:pPr>
        <w:adjustRightInd w:val="0"/>
        <w:snapToGrid w:val="0"/>
        <w:spacing w:line="360" w:lineRule="exact"/>
        <w:ind w:firstLine="480" w:firstLineChars="200"/>
        <w:rPr>
          <w:rFonts w:hint="eastAsia" w:ascii="仿宋_GB2312" w:hAnsi="仿宋_GB2312" w:eastAsia="仿宋_GB2312" w:cs="仿宋_GB2312"/>
          <w:sz w:val="24"/>
          <w:highlight w:val="none"/>
          <w:lang w:val="en-US" w:eastAsia="zh-CN"/>
        </w:rPr>
      </w:pPr>
      <w:r>
        <w:rPr>
          <w:rFonts w:hint="eastAsia" w:ascii="仿宋_GB2312" w:hAnsi="仿宋_GB2312" w:eastAsia="仿宋_GB2312" w:cs="仿宋_GB2312"/>
          <w:sz w:val="24"/>
          <w:highlight w:val="none"/>
          <w:lang w:val="en-US" w:eastAsia="zh-CN"/>
        </w:rPr>
        <w:t>8.合同附件</w:t>
      </w:r>
    </w:p>
    <w:p w14:paraId="359D0CD6">
      <w:pPr>
        <w:adjustRightInd w:val="0"/>
        <w:snapToGrid w:val="0"/>
        <w:spacing w:line="360" w:lineRule="exact"/>
        <w:ind w:firstLine="480" w:firstLineChars="200"/>
        <w:rPr>
          <w:rFonts w:hint="default" w:ascii="仿宋_GB2312" w:hAnsi="仿宋_GB2312" w:eastAsia="仿宋_GB2312" w:cs="仿宋_GB2312"/>
          <w:sz w:val="24"/>
          <w:highlight w:val="none"/>
          <w:lang w:val="en-US" w:eastAsia="zh-CN"/>
        </w:rPr>
      </w:pPr>
      <w:r>
        <w:rPr>
          <w:rFonts w:hint="eastAsia" w:ascii="仿宋_GB2312" w:hAnsi="仿宋_GB2312" w:eastAsia="仿宋_GB2312" w:cs="仿宋_GB2312"/>
          <w:sz w:val="24"/>
          <w:highlight w:val="none"/>
          <w:lang w:val="en-US" w:eastAsia="zh-CN"/>
        </w:rPr>
        <w:t>附件：技术参数（确定中标人后确定）</w:t>
      </w:r>
    </w:p>
    <w:p w14:paraId="635723FD">
      <w:pPr>
        <w:adjustRightInd w:val="0"/>
        <w:snapToGrid w:val="0"/>
        <w:spacing w:line="360" w:lineRule="exact"/>
        <w:ind w:firstLine="480" w:firstLineChars="200"/>
        <w:rPr>
          <w:rFonts w:ascii="仿宋_GB2312" w:hAnsi="仿宋_GB2312" w:eastAsia="仿宋_GB2312" w:cs="仿宋_GB2312"/>
          <w:sz w:val="24"/>
          <w:highlight w:val="none"/>
        </w:rPr>
      </w:pPr>
    </w:p>
    <w:p w14:paraId="732D4413">
      <w:pPr>
        <w:adjustRightInd w:val="0"/>
        <w:snapToGrid w:val="0"/>
        <w:spacing w:line="360" w:lineRule="exact"/>
        <w:ind w:firstLine="480" w:firstLineChars="200"/>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合同订立时间：</w:t>
      </w:r>
      <w:r>
        <w:rPr>
          <w:rFonts w:hint="eastAsia" w:ascii="仿宋_GB2312" w:hAnsi="仿宋_GB2312" w:eastAsia="仿宋_GB2312" w:cs="仿宋_GB2312"/>
          <w:sz w:val="24"/>
          <w:highlight w:val="none"/>
          <w:u w:val="single"/>
        </w:rPr>
        <w:t xml:space="preserve">         </w:t>
      </w:r>
      <w:r>
        <w:rPr>
          <w:rFonts w:hint="eastAsia" w:ascii="仿宋_GB2312" w:hAnsi="仿宋_GB2312" w:eastAsia="仿宋_GB2312" w:cs="仿宋_GB2312"/>
          <w:sz w:val="24"/>
          <w:highlight w:val="none"/>
        </w:rPr>
        <w:t>年</w:t>
      </w:r>
      <w:r>
        <w:rPr>
          <w:rFonts w:hint="eastAsia" w:ascii="仿宋_GB2312" w:hAnsi="仿宋_GB2312" w:eastAsia="仿宋_GB2312" w:cs="仿宋_GB2312"/>
          <w:sz w:val="24"/>
          <w:highlight w:val="none"/>
          <w:u w:val="single"/>
        </w:rPr>
        <w:t xml:space="preserve">      </w:t>
      </w:r>
      <w:r>
        <w:rPr>
          <w:rFonts w:hint="eastAsia" w:ascii="仿宋_GB2312" w:hAnsi="仿宋_GB2312" w:eastAsia="仿宋_GB2312" w:cs="仿宋_GB2312"/>
          <w:sz w:val="24"/>
          <w:highlight w:val="none"/>
        </w:rPr>
        <w:t>月</w:t>
      </w:r>
      <w:r>
        <w:rPr>
          <w:rFonts w:hint="eastAsia" w:ascii="仿宋_GB2312" w:hAnsi="仿宋_GB2312" w:eastAsia="仿宋_GB2312" w:cs="仿宋_GB2312"/>
          <w:sz w:val="24"/>
          <w:highlight w:val="none"/>
          <w:u w:val="single"/>
        </w:rPr>
        <w:t xml:space="preserve">      </w:t>
      </w:r>
      <w:r>
        <w:rPr>
          <w:rFonts w:hint="eastAsia" w:ascii="仿宋_GB2312" w:hAnsi="仿宋_GB2312" w:eastAsia="仿宋_GB2312" w:cs="仿宋_GB2312"/>
          <w:sz w:val="24"/>
          <w:highlight w:val="none"/>
        </w:rPr>
        <w:t>日</w:t>
      </w:r>
    </w:p>
    <w:p w14:paraId="044B9107">
      <w:pPr>
        <w:adjustRightInd w:val="0"/>
        <w:snapToGrid w:val="0"/>
        <w:spacing w:line="360" w:lineRule="exact"/>
        <w:ind w:firstLine="480" w:firstLineChars="200"/>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合同订立地点：</w:t>
      </w:r>
      <w:r>
        <w:rPr>
          <w:rFonts w:hint="eastAsia" w:ascii="仿宋_GB2312" w:hAnsi="仿宋_GB2312" w:eastAsia="仿宋_GB2312" w:cs="仿宋_GB2312"/>
          <w:sz w:val="24"/>
          <w:highlight w:val="none"/>
          <w:u w:val="single"/>
        </w:rPr>
        <w:t xml:space="preserve"> 西安市  </w:t>
      </w:r>
    </w:p>
    <w:p w14:paraId="592792F3">
      <w:pPr>
        <w:pStyle w:val="22"/>
        <w:spacing w:line="400" w:lineRule="exact"/>
        <w:ind w:firstLine="480"/>
        <w:rPr>
          <w:rFonts w:ascii="仿宋_GB2312" w:hAnsi="仿宋_GB2312" w:eastAsia="仿宋_GB2312" w:cs="仿宋_GB2312"/>
          <w:sz w:val="24"/>
          <w:szCs w:val="24"/>
          <w:highlight w:val="none"/>
        </w:rPr>
      </w:pPr>
    </w:p>
    <w:p w14:paraId="7C150E8B">
      <w:pPr>
        <w:rPr>
          <w:rFonts w:ascii="仿宋_GB2312" w:hAnsi="仿宋_GB2312" w:eastAsia="仿宋_GB2312" w:cs="仿宋_GB2312"/>
          <w:sz w:val="24"/>
          <w:highlight w:val="none"/>
        </w:rPr>
      </w:pPr>
      <w:r>
        <w:rPr>
          <w:rFonts w:hint="eastAsia" w:ascii="仿宋_GB2312" w:hAnsi="仿宋_GB2312" w:eastAsia="仿宋_GB2312" w:cs="仿宋_GB2312"/>
          <w:sz w:val="24"/>
          <w:highlight w:val="none"/>
          <w:lang w:val="en"/>
        </w:rPr>
        <w:t xml:space="preserve">   </w:t>
      </w:r>
    </w:p>
    <w:p w14:paraId="04397751">
      <w:pPr>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br w:type="page"/>
      </w:r>
    </w:p>
    <w:p w14:paraId="171385B3">
      <w:pPr>
        <w:pStyle w:val="22"/>
        <w:ind w:firstLine="480"/>
        <w:rPr>
          <w:rFonts w:ascii="仿宋_GB2312" w:hAnsi="仿宋_GB2312" w:eastAsia="仿宋_GB2312" w:cs="仿宋_GB2312"/>
          <w:sz w:val="24"/>
          <w:szCs w:val="24"/>
          <w:highlight w:val="none"/>
        </w:rPr>
      </w:pPr>
    </w:p>
    <w:tbl>
      <w:tblPr>
        <w:tblStyle w:val="12"/>
        <w:tblW w:w="5000" w:type="pct"/>
        <w:tblInd w:w="0" w:type="dxa"/>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autofit"/>
        <w:tblCellMar>
          <w:top w:w="0" w:type="dxa"/>
          <w:left w:w="108" w:type="dxa"/>
          <w:bottom w:w="0" w:type="dxa"/>
          <w:right w:w="108" w:type="dxa"/>
        </w:tblCellMar>
      </w:tblPr>
      <w:tblGrid>
        <w:gridCol w:w="1795"/>
        <w:gridCol w:w="2328"/>
        <w:gridCol w:w="1887"/>
        <w:gridCol w:w="2512"/>
      </w:tblGrid>
      <w:tr w14:paraId="7154951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087" w:hRule="atLeast"/>
        </w:trPr>
        <w:tc>
          <w:tcPr>
            <w:tcW w:w="2419" w:type="pct"/>
            <w:gridSpan w:val="2"/>
            <w:tcBorders>
              <w:bottom w:val="single" w:color="auto" w:sz="2" w:space="0"/>
              <w:right w:val="single" w:color="auto" w:sz="2" w:space="0"/>
            </w:tcBorders>
            <w:vAlign w:val="center"/>
          </w:tcPr>
          <w:p w14:paraId="2835120E">
            <w:pPr>
              <w:adjustRightInd w:val="0"/>
              <w:snapToGrid w:val="0"/>
              <w:spacing w:line="300" w:lineRule="exact"/>
              <w:jc w:val="center"/>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甲方</w:t>
            </w:r>
          </w:p>
        </w:tc>
        <w:tc>
          <w:tcPr>
            <w:tcW w:w="2581" w:type="pct"/>
            <w:gridSpan w:val="2"/>
            <w:tcBorders>
              <w:left w:val="single" w:color="auto" w:sz="2" w:space="0"/>
              <w:bottom w:val="single" w:color="auto" w:sz="2" w:space="0"/>
            </w:tcBorders>
            <w:vAlign w:val="center"/>
          </w:tcPr>
          <w:p w14:paraId="246E14B3">
            <w:pPr>
              <w:adjustRightInd w:val="0"/>
              <w:snapToGrid w:val="0"/>
              <w:spacing w:line="300" w:lineRule="exact"/>
              <w:jc w:val="center"/>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乙方</w:t>
            </w:r>
          </w:p>
        </w:tc>
      </w:tr>
      <w:tr w14:paraId="4AD5DA3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182" w:hRule="atLeast"/>
        </w:trPr>
        <w:tc>
          <w:tcPr>
            <w:tcW w:w="1053" w:type="pct"/>
            <w:tcBorders>
              <w:top w:val="single" w:color="auto" w:sz="2" w:space="0"/>
              <w:bottom w:val="single" w:color="auto" w:sz="2" w:space="0"/>
              <w:right w:val="single" w:color="auto" w:sz="2" w:space="0"/>
            </w:tcBorders>
            <w:vAlign w:val="center"/>
          </w:tcPr>
          <w:p w14:paraId="0059C3EF">
            <w:pPr>
              <w:adjustRightInd w:val="0"/>
              <w:snapToGrid w:val="0"/>
              <w:spacing w:line="300" w:lineRule="exact"/>
              <w:jc w:val="center"/>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单位名称（公章）</w:t>
            </w:r>
          </w:p>
        </w:tc>
        <w:tc>
          <w:tcPr>
            <w:tcW w:w="1366" w:type="pct"/>
            <w:tcBorders>
              <w:top w:val="single" w:color="auto" w:sz="2" w:space="0"/>
              <w:left w:val="single" w:color="auto" w:sz="2" w:space="0"/>
              <w:bottom w:val="single" w:color="auto" w:sz="2" w:space="0"/>
              <w:right w:val="single" w:color="auto" w:sz="2" w:space="0"/>
            </w:tcBorders>
            <w:vAlign w:val="center"/>
          </w:tcPr>
          <w:p w14:paraId="2166B67B">
            <w:pPr>
              <w:adjustRightInd w:val="0"/>
              <w:snapToGrid w:val="0"/>
              <w:spacing w:line="300" w:lineRule="exact"/>
              <w:jc w:val="center"/>
              <w:rPr>
                <w:rFonts w:ascii="仿宋_GB2312" w:hAnsi="仿宋_GB2312" w:eastAsia="仿宋_GB2312" w:cs="仿宋_GB2312"/>
                <w:sz w:val="24"/>
                <w:highlight w:val="none"/>
              </w:rPr>
            </w:pPr>
          </w:p>
        </w:tc>
        <w:tc>
          <w:tcPr>
            <w:tcW w:w="1107" w:type="pct"/>
            <w:tcBorders>
              <w:top w:val="single" w:color="auto" w:sz="2" w:space="0"/>
              <w:left w:val="single" w:color="auto" w:sz="2" w:space="0"/>
              <w:bottom w:val="single" w:color="auto" w:sz="2" w:space="0"/>
              <w:right w:val="single" w:color="auto" w:sz="2" w:space="0"/>
            </w:tcBorders>
            <w:vAlign w:val="center"/>
          </w:tcPr>
          <w:p w14:paraId="48CBC9A9">
            <w:pPr>
              <w:adjustRightInd w:val="0"/>
              <w:snapToGrid w:val="0"/>
              <w:spacing w:line="300" w:lineRule="exact"/>
              <w:jc w:val="center"/>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单位名称（公章）</w:t>
            </w:r>
          </w:p>
        </w:tc>
        <w:tc>
          <w:tcPr>
            <w:tcW w:w="1474" w:type="pct"/>
            <w:tcBorders>
              <w:top w:val="single" w:color="auto" w:sz="2" w:space="0"/>
              <w:left w:val="single" w:color="auto" w:sz="2" w:space="0"/>
              <w:bottom w:val="single" w:color="auto" w:sz="2" w:space="0"/>
            </w:tcBorders>
            <w:vAlign w:val="center"/>
          </w:tcPr>
          <w:p w14:paraId="46275E18">
            <w:pPr>
              <w:adjustRightInd w:val="0"/>
              <w:snapToGrid w:val="0"/>
              <w:spacing w:line="300" w:lineRule="exact"/>
              <w:jc w:val="center"/>
              <w:rPr>
                <w:rFonts w:ascii="仿宋_GB2312" w:hAnsi="仿宋_GB2312" w:eastAsia="仿宋_GB2312" w:cs="仿宋_GB2312"/>
                <w:spacing w:val="20"/>
                <w:sz w:val="24"/>
                <w:highlight w:val="none"/>
              </w:rPr>
            </w:pPr>
          </w:p>
        </w:tc>
      </w:tr>
      <w:tr w14:paraId="0A39A64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509" w:hRule="atLeast"/>
        </w:trPr>
        <w:tc>
          <w:tcPr>
            <w:tcW w:w="1053" w:type="pct"/>
            <w:vMerge w:val="restart"/>
            <w:tcBorders>
              <w:top w:val="single" w:color="auto" w:sz="2" w:space="0"/>
              <w:right w:val="single" w:color="auto" w:sz="2" w:space="0"/>
            </w:tcBorders>
            <w:vAlign w:val="center"/>
          </w:tcPr>
          <w:p w14:paraId="0B816C88">
            <w:pPr>
              <w:adjustRightInd w:val="0"/>
              <w:snapToGrid w:val="0"/>
              <w:spacing w:line="300" w:lineRule="exact"/>
              <w:jc w:val="center"/>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法定代表人</w:t>
            </w:r>
          </w:p>
        </w:tc>
        <w:tc>
          <w:tcPr>
            <w:tcW w:w="1366" w:type="pct"/>
            <w:vMerge w:val="restart"/>
            <w:tcBorders>
              <w:top w:val="single" w:color="auto" w:sz="2" w:space="0"/>
              <w:left w:val="single" w:color="auto" w:sz="2" w:space="0"/>
              <w:right w:val="single" w:color="auto" w:sz="2" w:space="0"/>
            </w:tcBorders>
            <w:vAlign w:val="center"/>
          </w:tcPr>
          <w:p w14:paraId="565A88F7">
            <w:pPr>
              <w:adjustRightInd w:val="0"/>
              <w:snapToGrid w:val="0"/>
              <w:spacing w:line="300" w:lineRule="exact"/>
              <w:jc w:val="center"/>
              <w:rPr>
                <w:rFonts w:ascii="仿宋_GB2312" w:hAnsi="仿宋_GB2312" w:eastAsia="仿宋_GB2312" w:cs="仿宋_GB2312"/>
                <w:sz w:val="24"/>
                <w:highlight w:val="none"/>
              </w:rPr>
            </w:pPr>
          </w:p>
        </w:tc>
        <w:tc>
          <w:tcPr>
            <w:tcW w:w="1107" w:type="pct"/>
            <w:tcBorders>
              <w:top w:val="single" w:color="auto" w:sz="2" w:space="0"/>
              <w:left w:val="single" w:color="auto" w:sz="2" w:space="0"/>
              <w:right w:val="single" w:color="auto" w:sz="2" w:space="0"/>
            </w:tcBorders>
            <w:vAlign w:val="center"/>
          </w:tcPr>
          <w:p w14:paraId="2A5BDB76">
            <w:pPr>
              <w:adjustRightInd w:val="0"/>
              <w:snapToGrid w:val="0"/>
              <w:spacing w:line="300" w:lineRule="exact"/>
              <w:jc w:val="center"/>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法定代表人</w:t>
            </w:r>
          </w:p>
        </w:tc>
        <w:tc>
          <w:tcPr>
            <w:tcW w:w="1474" w:type="pct"/>
            <w:tcBorders>
              <w:top w:val="single" w:color="auto" w:sz="2" w:space="0"/>
              <w:left w:val="single" w:color="auto" w:sz="2" w:space="0"/>
              <w:bottom w:val="single" w:color="auto" w:sz="2" w:space="0"/>
            </w:tcBorders>
            <w:vAlign w:val="center"/>
          </w:tcPr>
          <w:p w14:paraId="5E4A3D11">
            <w:pPr>
              <w:adjustRightInd w:val="0"/>
              <w:snapToGrid w:val="0"/>
              <w:spacing w:line="300" w:lineRule="exact"/>
              <w:jc w:val="center"/>
              <w:rPr>
                <w:rFonts w:ascii="仿宋_GB2312" w:hAnsi="仿宋_GB2312" w:eastAsia="仿宋_GB2312" w:cs="仿宋_GB2312"/>
                <w:sz w:val="24"/>
                <w:highlight w:val="none"/>
              </w:rPr>
            </w:pPr>
          </w:p>
        </w:tc>
      </w:tr>
      <w:tr w14:paraId="3CCE3FA0">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622" w:hRule="atLeast"/>
        </w:trPr>
        <w:tc>
          <w:tcPr>
            <w:tcW w:w="1053" w:type="pct"/>
            <w:vMerge w:val="continue"/>
            <w:tcBorders>
              <w:bottom w:val="single" w:color="auto" w:sz="2" w:space="0"/>
              <w:right w:val="single" w:color="auto" w:sz="2" w:space="0"/>
            </w:tcBorders>
            <w:vAlign w:val="center"/>
          </w:tcPr>
          <w:p w14:paraId="5DAC086E">
            <w:pPr>
              <w:adjustRightInd w:val="0"/>
              <w:snapToGrid w:val="0"/>
              <w:spacing w:line="300" w:lineRule="exact"/>
              <w:jc w:val="center"/>
              <w:rPr>
                <w:rFonts w:ascii="仿宋_GB2312" w:hAnsi="仿宋_GB2312" w:eastAsia="仿宋_GB2312" w:cs="仿宋_GB2312"/>
                <w:sz w:val="24"/>
                <w:highlight w:val="none"/>
              </w:rPr>
            </w:pPr>
          </w:p>
        </w:tc>
        <w:tc>
          <w:tcPr>
            <w:tcW w:w="1366" w:type="pct"/>
            <w:vMerge w:val="continue"/>
            <w:tcBorders>
              <w:left w:val="single" w:color="auto" w:sz="2" w:space="0"/>
              <w:bottom w:val="single" w:color="auto" w:sz="2" w:space="0"/>
              <w:right w:val="single" w:color="auto" w:sz="2" w:space="0"/>
            </w:tcBorders>
            <w:vAlign w:val="center"/>
          </w:tcPr>
          <w:p w14:paraId="4D283E43">
            <w:pPr>
              <w:adjustRightInd w:val="0"/>
              <w:snapToGrid w:val="0"/>
              <w:spacing w:line="300" w:lineRule="exact"/>
              <w:jc w:val="center"/>
              <w:rPr>
                <w:rFonts w:ascii="仿宋_GB2312" w:hAnsi="仿宋_GB2312" w:eastAsia="仿宋_GB2312" w:cs="仿宋_GB2312"/>
                <w:sz w:val="24"/>
                <w:highlight w:val="none"/>
              </w:rPr>
            </w:pPr>
          </w:p>
        </w:tc>
        <w:tc>
          <w:tcPr>
            <w:tcW w:w="1107" w:type="pct"/>
            <w:tcBorders>
              <w:top w:val="single" w:color="auto" w:sz="2" w:space="0"/>
              <w:left w:val="single" w:color="auto" w:sz="2" w:space="0"/>
              <w:bottom w:val="single" w:color="auto" w:sz="2" w:space="0"/>
              <w:right w:val="single" w:color="auto" w:sz="2" w:space="0"/>
            </w:tcBorders>
            <w:vAlign w:val="center"/>
          </w:tcPr>
          <w:p w14:paraId="4CC7F5EB">
            <w:pPr>
              <w:adjustRightInd w:val="0"/>
              <w:snapToGrid w:val="0"/>
              <w:spacing w:line="300" w:lineRule="exact"/>
              <w:jc w:val="center"/>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拥有者性别</w:t>
            </w:r>
          </w:p>
        </w:tc>
        <w:tc>
          <w:tcPr>
            <w:tcW w:w="1474" w:type="pct"/>
            <w:tcBorders>
              <w:top w:val="single" w:color="auto" w:sz="2" w:space="0"/>
              <w:left w:val="single" w:color="auto" w:sz="2" w:space="0"/>
              <w:bottom w:val="single" w:color="auto" w:sz="2" w:space="0"/>
            </w:tcBorders>
            <w:vAlign w:val="center"/>
          </w:tcPr>
          <w:p w14:paraId="227022E7">
            <w:pPr>
              <w:adjustRightInd w:val="0"/>
              <w:snapToGrid w:val="0"/>
              <w:spacing w:line="300" w:lineRule="exact"/>
              <w:jc w:val="center"/>
              <w:rPr>
                <w:rFonts w:ascii="仿宋_GB2312" w:hAnsi="仿宋_GB2312" w:eastAsia="仿宋_GB2312" w:cs="仿宋_GB2312"/>
                <w:spacing w:val="20"/>
                <w:sz w:val="24"/>
                <w:highlight w:val="none"/>
              </w:rPr>
            </w:pPr>
          </w:p>
        </w:tc>
      </w:tr>
      <w:tr w14:paraId="0D46C201">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299" w:hRule="atLeast"/>
        </w:trPr>
        <w:tc>
          <w:tcPr>
            <w:tcW w:w="1053" w:type="pct"/>
            <w:tcBorders>
              <w:top w:val="single" w:color="auto" w:sz="2" w:space="0"/>
              <w:bottom w:val="single" w:color="auto" w:sz="2" w:space="0"/>
              <w:right w:val="single" w:color="auto" w:sz="2" w:space="0"/>
            </w:tcBorders>
            <w:vAlign w:val="center"/>
          </w:tcPr>
          <w:p w14:paraId="4A3BADA3">
            <w:pPr>
              <w:adjustRightInd w:val="0"/>
              <w:snapToGrid w:val="0"/>
              <w:spacing w:line="300" w:lineRule="exact"/>
              <w:jc w:val="center"/>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地  址</w:t>
            </w:r>
          </w:p>
        </w:tc>
        <w:tc>
          <w:tcPr>
            <w:tcW w:w="1366" w:type="pct"/>
            <w:tcBorders>
              <w:top w:val="single" w:color="auto" w:sz="2" w:space="0"/>
              <w:left w:val="single" w:color="auto" w:sz="2" w:space="0"/>
              <w:bottom w:val="single" w:color="auto" w:sz="2" w:space="0"/>
              <w:right w:val="single" w:color="auto" w:sz="2" w:space="0"/>
            </w:tcBorders>
            <w:vAlign w:val="center"/>
          </w:tcPr>
          <w:p w14:paraId="3DEECC40">
            <w:pPr>
              <w:adjustRightInd w:val="0"/>
              <w:snapToGrid w:val="0"/>
              <w:spacing w:line="300" w:lineRule="exact"/>
              <w:jc w:val="center"/>
              <w:rPr>
                <w:rFonts w:ascii="仿宋_GB2312" w:hAnsi="仿宋_GB2312" w:eastAsia="仿宋_GB2312" w:cs="仿宋_GB2312"/>
                <w:sz w:val="24"/>
                <w:highlight w:val="none"/>
              </w:rPr>
            </w:pPr>
          </w:p>
        </w:tc>
        <w:tc>
          <w:tcPr>
            <w:tcW w:w="1107" w:type="pct"/>
            <w:tcBorders>
              <w:top w:val="single" w:color="auto" w:sz="2" w:space="0"/>
              <w:left w:val="single" w:color="auto" w:sz="2" w:space="0"/>
              <w:bottom w:val="single" w:color="auto" w:sz="2" w:space="0"/>
              <w:right w:val="single" w:color="auto" w:sz="2" w:space="0"/>
            </w:tcBorders>
            <w:vAlign w:val="center"/>
          </w:tcPr>
          <w:p w14:paraId="15756997">
            <w:pPr>
              <w:adjustRightInd w:val="0"/>
              <w:snapToGrid w:val="0"/>
              <w:spacing w:line="300" w:lineRule="exact"/>
              <w:jc w:val="center"/>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地  址</w:t>
            </w:r>
          </w:p>
        </w:tc>
        <w:tc>
          <w:tcPr>
            <w:tcW w:w="1474" w:type="pct"/>
            <w:tcBorders>
              <w:top w:val="single" w:color="auto" w:sz="2" w:space="0"/>
              <w:left w:val="single" w:color="auto" w:sz="2" w:space="0"/>
              <w:bottom w:val="single" w:color="auto" w:sz="2" w:space="0"/>
            </w:tcBorders>
            <w:vAlign w:val="center"/>
          </w:tcPr>
          <w:p w14:paraId="07AB1069">
            <w:pPr>
              <w:adjustRightInd w:val="0"/>
              <w:snapToGrid w:val="0"/>
              <w:spacing w:line="300" w:lineRule="exact"/>
              <w:jc w:val="center"/>
              <w:rPr>
                <w:rFonts w:ascii="仿宋_GB2312" w:hAnsi="仿宋_GB2312" w:eastAsia="仿宋_GB2312" w:cs="仿宋_GB2312"/>
                <w:spacing w:val="20"/>
                <w:sz w:val="24"/>
                <w:highlight w:val="none"/>
              </w:rPr>
            </w:pPr>
          </w:p>
        </w:tc>
      </w:tr>
      <w:tr w14:paraId="2EAFAF3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073" w:hRule="atLeast"/>
        </w:trPr>
        <w:tc>
          <w:tcPr>
            <w:tcW w:w="1053" w:type="pct"/>
            <w:tcBorders>
              <w:top w:val="single" w:color="auto" w:sz="2" w:space="0"/>
              <w:bottom w:val="single" w:color="auto" w:sz="2" w:space="0"/>
              <w:right w:val="single" w:color="auto" w:sz="2" w:space="0"/>
            </w:tcBorders>
            <w:vAlign w:val="center"/>
          </w:tcPr>
          <w:p w14:paraId="5E4C73C7">
            <w:pPr>
              <w:adjustRightInd w:val="0"/>
              <w:snapToGrid w:val="0"/>
              <w:spacing w:line="300" w:lineRule="exact"/>
              <w:jc w:val="center"/>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联 系 人</w:t>
            </w:r>
          </w:p>
        </w:tc>
        <w:tc>
          <w:tcPr>
            <w:tcW w:w="1366" w:type="pct"/>
            <w:tcBorders>
              <w:top w:val="single" w:color="auto" w:sz="2" w:space="0"/>
              <w:left w:val="single" w:color="auto" w:sz="2" w:space="0"/>
              <w:bottom w:val="single" w:color="auto" w:sz="2" w:space="0"/>
              <w:right w:val="single" w:color="auto" w:sz="2" w:space="0"/>
            </w:tcBorders>
            <w:vAlign w:val="center"/>
          </w:tcPr>
          <w:p w14:paraId="11AD2D0B">
            <w:pPr>
              <w:adjustRightInd w:val="0"/>
              <w:snapToGrid w:val="0"/>
              <w:spacing w:line="300" w:lineRule="exact"/>
              <w:jc w:val="center"/>
              <w:rPr>
                <w:rFonts w:ascii="仿宋_GB2312" w:hAnsi="仿宋_GB2312" w:eastAsia="仿宋_GB2312" w:cs="仿宋_GB2312"/>
                <w:sz w:val="24"/>
                <w:highlight w:val="none"/>
              </w:rPr>
            </w:pPr>
          </w:p>
        </w:tc>
        <w:tc>
          <w:tcPr>
            <w:tcW w:w="1107" w:type="pct"/>
            <w:tcBorders>
              <w:top w:val="single" w:color="auto" w:sz="2" w:space="0"/>
              <w:left w:val="single" w:color="auto" w:sz="2" w:space="0"/>
              <w:bottom w:val="single" w:color="auto" w:sz="2" w:space="0"/>
              <w:right w:val="single" w:color="auto" w:sz="2" w:space="0"/>
            </w:tcBorders>
            <w:vAlign w:val="center"/>
          </w:tcPr>
          <w:p w14:paraId="11D1DA8B">
            <w:pPr>
              <w:adjustRightInd w:val="0"/>
              <w:snapToGrid w:val="0"/>
              <w:spacing w:line="300" w:lineRule="exact"/>
              <w:jc w:val="center"/>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联 系 人</w:t>
            </w:r>
          </w:p>
        </w:tc>
        <w:tc>
          <w:tcPr>
            <w:tcW w:w="1474" w:type="pct"/>
            <w:tcBorders>
              <w:top w:val="single" w:color="auto" w:sz="2" w:space="0"/>
              <w:left w:val="single" w:color="auto" w:sz="2" w:space="0"/>
              <w:bottom w:val="single" w:color="auto" w:sz="2" w:space="0"/>
            </w:tcBorders>
            <w:vAlign w:val="center"/>
          </w:tcPr>
          <w:p w14:paraId="1331C47B">
            <w:pPr>
              <w:adjustRightInd w:val="0"/>
              <w:snapToGrid w:val="0"/>
              <w:spacing w:line="300" w:lineRule="exact"/>
              <w:jc w:val="center"/>
              <w:rPr>
                <w:rFonts w:ascii="仿宋_GB2312" w:hAnsi="仿宋_GB2312" w:eastAsia="仿宋_GB2312" w:cs="仿宋_GB2312"/>
                <w:spacing w:val="20"/>
                <w:sz w:val="24"/>
                <w:highlight w:val="none"/>
              </w:rPr>
            </w:pPr>
          </w:p>
        </w:tc>
      </w:tr>
      <w:tr w14:paraId="108F1E29">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47" w:hRule="atLeast"/>
        </w:trPr>
        <w:tc>
          <w:tcPr>
            <w:tcW w:w="1053" w:type="pct"/>
            <w:tcBorders>
              <w:top w:val="single" w:color="auto" w:sz="2" w:space="0"/>
              <w:bottom w:val="single" w:color="auto" w:sz="2" w:space="0"/>
              <w:right w:val="single" w:color="auto" w:sz="2" w:space="0"/>
            </w:tcBorders>
            <w:vAlign w:val="center"/>
          </w:tcPr>
          <w:p w14:paraId="189739B5">
            <w:pPr>
              <w:adjustRightInd w:val="0"/>
              <w:snapToGrid w:val="0"/>
              <w:spacing w:line="300" w:lineRule="exact"/>
              <w:jc w:val="center"/>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联系电话</w:t>
            </w:r>
          </w:p>
        </w:tc>
        <w:tc>
          <w:tcPr>
            <w:tcW w:w="1366" w:type="pct"/>
            <w:tcBorders>
              <w:top w:val="single" w:color="auto" w:sz="2" w:space="0"/>
              <w:left w:val="single" w:color="auto" w:sz="2" w:space="0"/>
              <w:bottom w:val="single" w:color="auto" w:sz="2" w:space="0"/>
              <w:right w:val="single" w:color="auto" w:sz="2" w:space="0"/>
            </w:tcBorders>
            <w:vAlign w:val="center"/>
          </w:tcPr>
          <w:p w14:paraId="7F9A26E2">
            <w:pPr>
              <w:adjustRightInd w:val="0"/>
              <w:snapToGrid w:val="0"/>
              <w:spacing w:line="300" w:lineRule="exact"/>
              <w:jc w:val="center"/>
              <w:rPr>
                <w:rFonts w:ascii="仿宋_GB2312" w:hAnsi="仿宋_GB2312" w:eastAsia="仿宋_GB2312" w:cs="仿宋_GB2312"/>
                <w:sz w:val="24"/>
                <w:highlight w:val="none"/>
              </w:rPr>
            </w:pPr>
          </w:p>
        </w:tc>
        <w:tc>
          <w:tcPr>
            <w:tcW w:w="1107" w:type="pct"/>
            <w:tcBorders>
              <w:top w:val="single" w:color="auto" w:sz="2" w:space="0"/>
              <w:left w:val="single" w:color="auto" w:sz="2" w:space="0"/>
              <w:bottom w:val="single" w:color="auto" w:sz="2" w:space="0"/>
              <w:right w:val="single" w:color="auto" w:sz="2" w:space="0"/>
            </w:tcBorders>
            <w:vAlign w:val="center"/>
          </w:tcPr>
          <w:p w14:paraId="4D87D804">
            <w:pPr>
              <w:adjustRightInd w:val="0"/>
              <w:snapToGrid w:val="0"/>
              <w:spacing w:line="300" w:lineRule="exact"/>
              <w:jc w:val="center"/>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联系电话</w:t>
            </w:r>
          </w:p>
        </w:tc>
        <w:tc>
          <w:tcPr>
            <w:tcW w:w="1474" w:type="pct"/>
            <w:tcBorders>
              <w:top w:val="single" w:color="auto" w:sz="2" w:space="0"/>
              <w:left w:val="single" w:color="auto" w:sz="2" w:space="0"/>
              <w:bottom w:val="single" w:color="auto" w:sz="2" w:space="0"/>
            </w:tcBorders>
            <w:vAlign w:val="center"/>
          </w:tcPr>
          <w:p w14:paraId="04F28C99">
            <w:pPr>
              <w:adjustRightInd w:val="0"/>
              <w:snapToGrid w:val="0"/>
              <w:spacing w:line="300" w:lineRule="exact"/>
              <w:jc w:val="center"/>
              <w:rPr>
                <w:rFonts w:ascii="仿宋_GB2312" w:hAnsi="仿宋_GB2312" w:eastAsia="仿宋_GB2312" w:cs="仿宋_GB2312"/>
                <w:spacing w:val="20"/>
                <w:sz w:val="24"/>
                <w:highlight w:val="none"/>
              </w:rPr>
            </w:pPr>
          </w:p>
        </w:tc>
      </w:tr>
      <w:tr w14:paraId="0C98E020">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847" w:hRule="atLeast"/>
        </w:trPr>
        <w:tc>
          <w:tcPr>
            <w:tcW w:w="1053" w:type="pct"/>
            <w:tcBorders>
              <w:top w:val="single" w:color="auto" w:sz="2" w:space="0"/>
              <w:bottom w:val="single" w:color="auto" w:sz="2" w:space="0"/>
              <w:right w:val="single" w:color="auto" w:sz="2" w:space="0"/>
            </w:tcBorders>
            <w:vAlign w:val="center"/>
          </w:tcPr>
          <w:p w14:paraId="4AA2B5F6">
            <w:pPr>
              <w:adjustRightInd w:val="0"/>
              <w:snapToGrid w:val="0"/>
              <w:spacing w:line="300" w:lineRule="exact"/>
              <w:jc w:val="center"/>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统一社会信用代码</w:t>
            </w:r>
          </w:p>
        </w:tc>
        <w:tc>
          <w:tcPr>
            <w:tcW w:w="1366" w:type="pct"/>
            <w:tcBorders>
              <w:top w:val="single" w:color="auto" w:sz="2" w:space="0"/>
              <w:left w:val="single" w:color="auto" w:sz="2" w:space="0"/>
              <w:bottom w:val="single" w:color="auto" w:sz="2" w:space="0"/>
              <w:right w:val="single" w:color="auto" w:sz="2" w:space="0"/>
            </w:tcBorders>
            <w:vAlign w:val="center"/>
          </w:tcPr>
          <w:p w14:paraId="28ABCF0D">
            <w:pPr>
              <w:adjustRightInd w:val="0"/>
              <w:snapToGrid w:val="0"/>
              <w:spacing w:line="300" w:lineRule="exact"/>
              <w:jc w:val="center"/>
              <w:rPr>
                <w:rFonts w:ascii="仿宋_GB2312" w:hAnsi="仿宋_GB2312" w:eastAsia="仿宋_GB2312" w:cs="仿宋_GB2312"/>
                <w:sz w:val="24"/>
                <w:highlight w:val="none"/>
              </w:rPr>
            </w:pPr>
          </w:p>
        </w:tc>
        <w:tc>
          <w:tcPr>
            <w:tcW w:w="1107" w:type="pct"/>
            <w:tcBorders>
              <w:top w:val="single" w:color="auto" w:sz="2" w:space="0"/>
              <w:left w:val="single" w:color="auto" w:sz="2" w:space="0"/>
              <w:bottom w:val="single" w:color="auto" w:sz="2" w:space="0"/>
              <w:right w:val="single" w:color="auto" w:sz="2" w:space="0"/>
            </w:tcBorders>
            <w:vAlign w:val="center"/>
          </w:tcPr>
          <w:p w14:paraId="68A1D30F">
            <w:pPr>
              <w:adjustRightInd w:val="0"/>
              <w:snapToGrid w:val="0"/>
              <w:spacing w:line="300" w:lineRule="exact"/>
              <w:jc w:val="center"/>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统一社会信用代码</w:t>
            </w:r>
          </w:p>
        </w:tc>
        <w:tc>
          <w:tcPr>
            <w:tcW w:w="1474" w:type="pct"/>
            <w:tcBorders>
              <w:top w:val="single" w:color="auto" w:sz="2" w:space="0"/>
              <w:left w:val="single" w:color="auto" w:sz="2" w:space="0"/>
              <w:bottom w:val="single" w:color="auto" w:sz="2" w:space="0"/>
            </w:tcBorders>
            <w:vAlign w:val="center"/>
          </w:tcPr>
          <w:p w14:paraId="71A7C187">
            <w:pPr>
              <w:adjustRightInd w:val="0"/>
              <w:snapToGrid w:val="0"/>
              <w:spacing w:line="300" w:lineRule="exact"/>
              <w:jc w:val="center"/>
              <w:rPr>
                <w:rFonts w:ascii="仿宋_GB2312" w:hAnsi="仿宋_GB2312" w:eastAsia="仿宋_GB2312" w:cs="仿宋_GB2312"/>
                <w:spacing w:val="20"/>
                <w:sz w:val="24"/>
                <w:highlight w:val="none"/>
              </w:rPr>
            </w:pPr>
          </w:p>
        </w:tc>
      </w:tr>
      <w:tr w14:paraId="4414951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87" w:hRule="atLeast"/>
        </w:trPr>
        <w:tc>
          <w:tcPr>
            <w:tcW w:w="1053" w:type="pct"/>
            <w:tcBorders>
              <w:top w:val="single" w:color="auto" w:sz="2" w:space="0"/>
              <w:bottom w:val="single" w:color="auto" w:sz="2" w:space="0"/>
              <w:right w:val="single" w:color="auto" w:sz="2" w:space="0"/>
            </w:tcBorders>
            <w:vAlign w:val="center"/>
          </w:tcPr>
          <w:p w14:paraId="3C36C18E">
            <w:pPr>
              <w:adjustRightInd w:val="0"/>
              <w:snapToGrid w:val="0"/>
              <w:spacing w:line="300" w:lineRule="exact"/>
              <w:jc w:val="center"/>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开户名称</w:t>
            </w:r>
          </w:p>
        </w:tc>
        <w:tc>
          <w:tcPr>
            <w:tcW w:w="1366" w:type="pct"/>
            <w:tcBorders>
              <w:top w:val="single" w:color="auto" w:sz="2" w:space="0"/>
              <w:left w:val="single" w:color="auto" w:sz="2" w:space="0"/>
              <w:bottom w:val="single" w:color="auto" w:sz="2" w:space="0"/>
              <w:right w:val="single" w:color="auto" w:sz="2" w:space="0"/>
            </w:tcBorders>
            <w:vAlign w:val="center"/>
          </w:tcPr>
          <w:p w14:paraId="0A8C87D1">
            <w:pPr>
              <w:adjustRightInd w:val="0"/>
              <w:snapToGrid w:val="0"/>
              <w:spacing w:line="300" w:lineRule="exact"/>
              <w:jc w:val="center"/>
              <w:rPr>
                <w:rFonts w:ascii="仿宋_GB2312" w:hAnsi="仿宋_GB2312" w:eastAsia="仿宋_GB2312" w:cs="仿宋_GB2312"/>
                <w:sz w:val="24"/>
                <w:highlight w:val="none"/>
              </w:rPr>
            </w:pPr>
          </w:p>
        </w:tc>
        <w:tc>
          <w:tcPr>
            <w:tcW w:w="1107" w:type="pct"/>
            <w:tcBorders>
              <w:top w:val="single" w:color="auto" w:sz="2" w:space="0"/>
              <w:left w:val="single" w:color="auto" w:sz="2" w:space="0"/>
              <w:bottom w:val="single" w:color="auto" w:sz="2" w:space="0"/>
              <w:right w:val="single" w:color="auto" w:sz="2" w:space="0"/>
            </w:tcBorders>
            <w:vAlign w:val="center"/>
          </w:tcPr>
          <w:p w14:paraId="104AA4C5">
            <w:pPr>
              <w:adjustRightInd w:val="0"/>
              <w:snapToGrid w:val="0"/>
              <w:spacing w:line="300" w:lineRule="exact"/>
              <w:jc w:val="center"/>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开户名称</w:t>
            </w:r>
          </w:p>
        </w:tc>
        <w:tc>
          <w:tcPr>
            <w:tcW w:w="1474" w:type="pct"/>
            <w:tcBorders>
              <w:top w:val="single" w:color="auto" w:sz="2" w:space="0"/>
              <w:left w:val="single" w:color="auto" w:sz="2" w:space="0"/>
              <w:bottom w:val="single" w:color="auto" w:sz="2" w:space="0"/>
            </w:tcBorders>
            <w:vAlign w:val="center"/>
          </w:tcPr>
          <w:p w14:paraId="27D01E3D">
            <w:pPr>
              <w:adjustRightInd w:val="0"/>
              <w:snapToGrid w:val="0"/>
              <w:spacing w:line="300" w:lineRule="exact"/>
              <w:jc w:val="center"/>
              <w:rPr>
                <w:rFonts w:ascii="仿宋_GB2312" w:hAnsi="仿宋_GB2312" w:eastAsia="仿宋_GB2312" w:cs="仿宋_GB2312"/>
                <w:spacing w:val="20"/>
                <w:sz w:val="24"/>
                <w:highlight w:val="none"/>
              </w:rPr>
            </w:pPr>
          </w:p>
        </w:tc>
      </w:tr>
      <w:tr w14:paraId="611D1CB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86" w:hRule="atLeast"/>
        </w:trPr>
        <w:tc>
          <w:tcPr>
            <w:tcW w:w="1053" w:type="pct"/>
            <w:tcBorders>
              <w:top w:val="single" w:color="auto" w:sz="2" w:space="0"/>
              <w:bottom w:val="single" w:color="auto" w:sz="2" w:space="0"/>
              <w:right w:val="single" w:color="auto" w:sz="2" w:space="0"/>
            </w:tcBorders>
            <w:vAlign w:val="center"/>
          </w:tcPr>
          <w:p w14:paraId="4C9B4387">
            <w:pPr>
              <w:adjustRightInd w:val="0"/>
              <w:snapToGrid w:val="0"/>
              <w:spacing w:line="300" w:lineRule="exact"/>
              <w:jc w:val="center"/>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开户银行</w:t>
            </w:r>
          </w:p>
        </w:tc>
        <w:tc>
          <w:tcPr>
            <w:tcW w:w="1366" w:type="pct"/>
            <w:tcBorders>
              <w:top w:val="single" w:color="auto" w:sz="2" w:space="0"/>
              <w:left w:val="single" w:color="auto" w:sz="2" w:space="0"/>
              <w:bottom w:val="single" w:color="auto" w:sz="2" w:space="0"/>
              <w:right w:val="single" w:color="auto" w:sz="2" w:space="0"/>
            </w:tcBorders>
            <w:vAlign w:val="center"/>
          </w:tcPr>
          <w:p w14:paraId="1CA63A54">
            <w:pPr>
              <w:adjustRightInd w:val="0"/>
              <w:snapToGrid w:val="0"/>
              <w:spacing w:line="300" w:lineRule="exact"/>
              <w:jc w:val="center"/>
              <w:rPr>
                <w:rFonts w:ascii="仿宋_GB2312" w:hAnsi="仿宋_GB2312" w:eastAsia="仿宋_GB2312" w:cs="仿宋_GB2312"/>
                <w:sz w:val="24"/>
                <w:highlight w:val="none"/>
              </w:rPr>
            </w:pPr>
          </w:p>
        </w:tc>
        <w:tc>
          <w:tcPr>
            <w:tcW w:w="1107" w:type="pct"/>
            <w:tcBorders>
              <w:top w:val="single" w:color="auto" w:sz="2" w:space="0"/>
              <w:left w:val="single" w:color="auto" w:sz="2" w:space="0"/>
              <w:bottom w:val="single" w:color="auto" w:sz="2" w:space="0"/>
              <w:right w:val="single" w:color="auto" w:sz="2" w:space="0"/>
            </w:tcBorders>
            <w:vAlign w:val="center"/>
          </w:tcPr>
          <w:p w14:paraId="25DD7E3E">
            <w:pPr>
              <w:adjustRightInd w:val="0"/>
              <w:snapToGrid w:val="0"/>
              <w:spacing w:line="300" w:lineRule="exact"/>
              <w:jc w:val="center"/>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开户银行</w:t>
            </w:r>
          </w:p>
        </w:tc>
        <w:tc>
          <w:tcPr>
            <w:tcW w:w="1474" w:type="pct"/>
            <w:tcBorders>
              <w:top w:val="single" w:color="auto" w:sz="2" w:space="0"/>
              <w:left w:val="single" w:color="auto" w:sz="2" w:space="0"/>
              <w:bottom w:val="single" w:color="auto" w:sz="2" w:space="0"/>
            </w:tcBorders>
            <w:vAlign w:val="center"/>
          </w:tcPr>
          <w:p w14:paraId="5806CEA4">
            <w:pPr>
              <w:adjustRightInd w:val="0"/>
              <w:snapToGrid w:val="0"/>
              <w:spacing w:line="300" w:lineRule="exact"/>
              <w:jc w:val="center"/>
              <w:rPr>
                <w:rFonts w:ascii="仿宋_GB2312" w:hAnsi="仿宋_GB2312" w:eastAsia="仿宋_GB2312" w:cs="仿宋_GB2312"/>
                <w:spacing w:val="20"/>
                <w:sz w:val="24"/>
                <w:highlight w:val="none"/>
              </w:rPr>
            </w:pPr>
          </w:p>
        </w:tc>
      </w:tr>
      <w:tr w14:paraId="3075FD1E">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86" w:hRule="atLeast"/>
        </w:trPr>
        <w:tc>
          <w:tcPr>
            <w:tcW w:w="1053" w:type="pct"/>
            <w:tcBorders>
              <w:top w:val="single" w:color="auto" w:sz="2" w:space="0"/>
              <w:bottom w:val="single" w:color="auto" w:sz="2" w:space="0"/>
              <w:right w:val="single" w:color="auto" w:sz="2" w:space="0"/>
            </w:tcBorders>
            <w:vAlign w:val="center"/>
          </w:tcPr>
          <w:p w14:paraId="1EA9E985">
            <w:pPr>
              <w:adjustRightInd w:val="0"/>
              <w:snapToGrid w:val="0"/>
              <w:spacing w:line="300" w:lineRule="exact"/>
              <w:jc w:val="center"/>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银行账号</w:t>
            </w:r>
          </w:p>
        </w:tc>
        <w:tc>
          <w:tcPr>
            <w:tcW w:w="1366" w:type="pct"/>
            <w:tcBorders>
              <w:top w:val="single" w:color="auto" w:sz="2" w:space="0"/>
              <w:left w:val="single" w:color="auto" w:sz="2" w:space="0"/>
              <w:bottom w:val="single" w:color="auto" w:sz="2" w:space="0"/>
              <w:right w:val="single" w:color="auto" w:sz="2" w:space="0"/>
            </w:tcBorders>
            <w:vAlign w:val="center"/>
          </w:tcPr>
          <w:p w14:paraId="1E0E923B">
            <w:pPr>
              <w:adjustRightInd w:val="0"/>
              <w:snapToGrid w:val="0"/>
              <w:spacing w:line="300" w:lineRule="exact"/>
              <w:jc w:val="center"/>
              <w:rPr>
                <w:rFonts w:ascii="仿宋_GB2312" w:hAnsi="仿宋_GB2312" w:eastAsia="仿宋_GB2312" w:cs="仿宋_GB2312"/>
                <w:sz w:val="24"/>
                <w:highlight w:val="none"/>
              </w:rPr>
            </w:pPr>
          </w:p>
        </w:tc>
        <w:tc>
          <w:tcPr>
            <w:tcW w:w="1107" w:type="pct"/>
            <w:tcBorders>
              <w:top w:val="single" w:color="auto" w:sz="2" w:space="0"/>
              <w:left w:val="single" w:color="auto" w:sz="2" w:space="0"/>
              <w:bottom w:val="single" w:color="auto" w:sz="2" w:space="0"/>
              <w:right w:val="single" w:color="auto" w:sz="2" w:space="0"/>
            </w:tcBorders>
            <w:vAlign w:val="center"/>
          </w:tcPr>
          <w:p w14:paraId="6C1FD665">
            <w:pPr>
              <w:adjustRightInd w:val="0"/>
              <w:snapToGrid w:val="0"/>
              <w:spacing w:line="300" w:lineRule="exact"/>
              <w:jc w:val="center"/>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银行账号</w:t>
            </w:r>
          </w:p>
        </w:tc>
        <w:tc>
          <w:tcPr>
            <w:tcW w:w="1474" w:type="pct"/>
            <w:tcBorders>
              <w:top w:val="single" w:color="auto" w:sz="2" w:space="0"/>
              <w:left w:val="single" w:color="auto" w:sz="2" w:space="0"/>
              <w:bottom w:val="single" w:color="auto" w:sz="2" w:space="0"/>
            </w:tcBorders>
            <w:vAlign w:val="center"/>
          </w:tcPr>
          <w:p w14:paraId="0C592350">
            <w:pPr>
              <w:adjustRightInd w:val="0"/>
              <w:snapToGrid w:val="0"/>
              <w:spacing w:line="300" w:lineRule="exact"/>
              <w:jc w:val="center"/>
              <w:rPr>
                <w:rFonts w:ascii="仿宋_GB2312" w:hAnsi="仿宋_GB2312" w:eastAsia="仿宋_GB2312" w:cs="仿宋_GB2312"/>
                <w:spacing w:val="20"/>
                <w:sz w:val="24"/>
                <w:highlight w:val="none"/>
              </w:rPr>
            </w:pPr>
          </w:p>
        </w:tc>
      </w:tr>
    </w:tbl>
    <w:p w14:paraId="4BF841B1">
      <w:pPr>
        <w:pStyle w:val="3"/>
        <w:adjustRightInd w:val="0"/>
        <w:snapToGrid w:val="0"/>
        <w:spacing w:before="156" w:beforeLines="50"/>
        <w:rPr>
          <w:rFonts w:ascii="仿宋_GB2312" w:hAnsi="仿宋_GB2312" w:eastAsia="仿宋_GB2312" w:cs="仿宋_GB2312"/>
          <w:sz w:val="24"/>
          <w:highlight w:val="none"/>
        </w:rPr>
      </w:pPr>
      <w:bookmarkStart w:id="3" w:name="_Toc27624"/>
    </w:p>
    <w:p w14:paraId="068E0E7C">
      <w:pPr>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br w:type="page"/>
      </w:r>
    </w:p>
    <w:p w14:paraId="0630D5D5">
      <w:pPr>
        <w:pStyle w:val="3"/>
        <w:adjustRightInd w:val="0"/>
        <w:snapToGrid w:val="0"/>
        <w:spacing w:before="156" w:beforeLines="50"/>
        <w:jc w:val="center"/>
        <w:rPr>
          <w:rFonts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第二节 政府采购合同通用条款</w:t>
      </w:r>
      <w:bookmarkEnd w:id="3"/>
    </w:p>
    <w:p w14:paraId="3BC7D6F4">
      <w:pPr>
        <w:keepLines w:val="0"/>
        <w:pageBreakBefore w:val="0"/>
        <w:tabs>
          <w:tab w:val="left" w:pos="8820"/>
          <w:tab w:val="left" w:pos="9345"/>
          <w:tab w:val="left" w:pos="9765"/>
        </w:tabs>
        <w:kinsoku/>
        <w:wordWrap/>
        <w:overflowPunct/>
        <w:topLinePunct w:val="0"/>
        <w:bidi w:val="0"/>
        <w:adjustRightInd w:val="0"/>
        <w:snapToGrid w:val="0"/>
        <w:spacing w:line="360" w:lineRule="exact"/>
        <w:jc w:val="left"/>
        <w:textAlignment w:val="auto"/>
        <w:rPr>
          <w:rFonts w:ascii="仿宋_GB2312" w:hAnsi="仿宋_GB2312" w:eastAsia="仿宋_GB2312" w:cs="仿宋_GB2312"/>
          <w:b/>
          <w:bCs/>
          <w:sz w:val="24"/>
          <w:highlight w:val="none"/>
        </w:rPr>
      </w:pPr>
      <w:r>
        <w:rPr>
          <w:rFonts w:hint="eastAsia" w:ascii="仿宋_GB2312" w:hAnsi="仿宋_GB2312" w:eastAsia="仿宋_GB2312" w:cs="仿宋_GB2312"/>
          <w:b/>
          <w:sz w:val="24"/>
          <w:highlight w:val="none"/>
        </w:rPr>
        <w:t xml:space="preserve">1. </w:t>
      </w:r>
      <w:r>
        <w:rPr>
          <w:rFonts w:hint="eastAsia" w:ascii="仿宋_GB2312" w:hAnsi="仿宋_GB2312" w:eastAsia="仿宋_GB2312" w:cs="仿宋_GB2312"/>
          <w:b/>
          <w:bCs/>
          <w:sz w:val="24"/>
          <w:highlight w:val="none"/>
        </w:rPr>
        <w:t>定义</w:t>
      </w:r>
    </w:p>
    <w:p w14:paraId="0A8B98F6">
      <w:pPr>
        <w:keepLines w:val="0"/>
        <w:pageBreakBefore w:val="0"/>
        <w:kinsoku/>
        <w:wordWrap/>
        <w:overflowPunct/>
        <w:topLinePunct w:val="0"/>
        <w:autoSpaceDE w:val="0"/>
        <w:autoSpaceDN w:val="0"/>
        <w:bidi w:val="0"/>
        <w:adjustRightInd w:val="0"/>
        <w:snapToGrid w:val="0"/>
        <w:spacing w:line="360" w:lineRule="exact"/>
        <w:ind w:firstLine="480" w:firstLineChars="200"/>
        <w:jc w:val="left"/>
        <w:textAlignment w:val="auto"/>
        <w:rPr>
          <w:rFonts w:ascii="仿宋_GB2312" w:hAnsi="仿宋_GB2312" w:eastAsia="仿宋_GB2312" w:cs="仿宋_GB2312"/>
          <w:color w:val="000000" w:themeColor="text1"/>
          <w:sz w:val="24"/>
          <w:highlight w:val="none"/>
          <w14:textFill>
            <w14:solidFill>
              <w14:schemeClr w14:val="tx1"/>
            </w14:solidFill>
          </w14:textFill>
        </w:rPr>
      </w:pPr>
      <w:r>
        <w:rPr>
          <w:rFonts w:hint="eastAsia" w:ascii="仿宋_GB2312" w:hAnsi="仿宋_GB2312" w:eastAsia="仿宋_GB2312" w:cs="仿宋_GB2312"/>
          <w:color w:val="000000" w:themeColor="text1"/>
          <w:sz w:val="24"/>
          <w:highlight w:val="none"/>
          <w14:textFill>
            <w14:solidFill>
              <w14:schemeClr w14:val="tx1"/>
            </w14:solidFill>
          </w14:textFill>
        </w:rPr>
        <w:t>1.1合同当事人</w:t>
      </w:r>
    </w:p>
    <w:p w14:paraId="2C9482BC">
      <w:pPr>
        <w:keepLines w:val="0"/>
        <w:pageBreakBefore w:val="0"/>
        <w:kinsoku/>
        <w:wordWrap/>
        <w:overflowPunct/>
        <w:topLinePunct w:val="0"/>
        <w:autoSpaceDE w:val="0"/>
        <w:autoSpaceDN w:val="0"/>
        <w:bidi w:val="0"/>
        <w:adjustRightInd w:val="0"/>
        <w:snapToGrid w:val="0"/>
        <w:spacing w:line="360" w:lineRule="exact"/>
        <w:ind w:firstLine="480" w:firstLineChars="200"/>
        <w:jc w:val="left"/>
        <w:textAlignment w:val="auto"/>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（1）采购人（以下称甲方）是指使用财政性资金，通过政府采购方式向供应商购买货物及其相关服务的国家机关、事业单位、团体组织。</w:t>
      </w:r>
    </w:p>
    <w:p w14:paraId="1E4662B7">
      <w:pPr>
        <w:keepLines w:val="0"/>
        <w:pageBreakBefore w:val="0"/>
        <w:kinsoku/>
        <w:wordWrap/>
        <w:overflowPunct/>
        <w:topLinePunct w:val="0"/>
        <w:autoSpaceDE w:val="0"/>
        <w:autoSpaceDN w:val="0"/>
        <w:bidi w:val="0"/>
        <w:adjustRightInd w:val="0"/>
        <w:snapToGrid w:val="0"/>
        <w:spacing w:line="360" w:lineRule="exact"/>
        <w:ind w:firstLine="480" w:firstLineChars="200"/>
        <w:jc w:val="left"/>
        <w:textAlignment w:val="auto"/>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（2）供应商（以下称乙方）是指参加政府采购活动并且中标（成交），向采购人提供合同约定的货物及其相关服务的法人、非法人组织或者自然人。</w:t>
      </w:r>
    </w:p>
    <w:p w14:paraId="2A42E01E">
      <w:pPr>
        <w:keepLines w:val="0"/>
        <w:pageBreakBefore w:val="0"/>
        <w:kinsoku/>
        <w:wordWrap/>
        <w:overflowPunct/>
        <w:topLinePunct w:val="0"/>
        <w:autoSpaceDE w:val="0"/>
        <w:autoSpaceDN w:val="0"/>
        <w:bidi w:val="0"/>
        <w:adjustRightInd w:val="0"/>
        <w:snapToGrid w:val="0"/>
        <w:spacing w:line="360" w:lineRule="exact"/>
        <w:ind w:firstLine="480" w:firstLineChars="200"/>
        <w:jc w:val="left"/>
        <w:textAlignment w:val="auto"/>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（3）其他合同主体是指除采购人和供应商以外，</w:t>
      </w:r>
      <w:r>
        <w:rPr>
          <w:rFonts w:hint="eastAsia" w:ascii="仿宋_GB2312" w:hAnsi="仿宋_GB2312" w:eastAsia="仿宋_GB2312" w:cs="仿宋_GB2312"/>
          <w:bCs/>
          <w:color w:val="000000" w:themeColor="text1"/>
          <w:sz w:val="24"/>
          <w:highlight w:val="none"/>
          <w14:textFill>
            <w14:solidFill>
              <w14:schemeClr w14:val="tx1"/>
            </w14:solidFill>
          </w14:textFill>
        </w:rPr>
        <w:t>依法参与合同缔结或履行，享有权利、承担义务的合同当事人</w:t>
      </w:r>
      <w:r>
        <w:rPr>
          <w:rFonts w:hint="eastAsia" w:ascii="仿宋_GB2312" w:hAnsi="仿宋_GB2312" w:eastAsia="仿宋_GB2312" w:cs="仿宋_GB2312"/>
          <w:sz w:val="24"/>
          <w:highlight w:val="none"/>
        </w:rPr>
        <w:t>。</w:t>
      </w:r>
    </w:p>
    <w:p w14:paraId="1A29BBDA">
      <w:pPr>
        <w:keepLines w:val="0"/>
        <w:pageBreakBefore w:val="0"/>
        <w:tabs>
          <w:tab w:val="left" w:pos="570"/>
          <w:tab w:val="left" w:pos="9240"/>
          <w:tab w:val="left" w:pos="9555"/>
        </w:tabs>
        <w:kinsoku/>
        <w:wordWrap/>
        <w:overflowPunct/>
        <w:topLinePunct w:val="0"/>
        <w:bidi w:val="0"/>
        <w:adjustRightInd w:val="0"/>
        <w:snapToGrid w:val="0"/>
        <w:spacing w:line="360" w:lineRule="exact"/>
        <w:ind w:firstLine="480" w:firstLineChars="200"/>
        <w:jc w:val="left"/>
        <w:textAlignment w:val="auto"/>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1.2本合同下列术语应解释为：</w:t>
      </w:r>
    </w:p>
    <w:p w14:paraId="4E9D9E6D">
      <w:pPr>
        <w:keepLines w:val="0"/>
        <w:pageBreakBefore w:val="0"/>
        <w:kinsoku/>
        <w:wordWrap/>
        <w:overflowPunct/>
        <w:topLinePunct w:val="0"/>
        <w:bidi w:val="0"/>
        <w:adjustRightInd w:val="0"/>
        <w:snapToGrid w:val="0"/>
        <w:spacing w:line="360" w:lineRule="exact"/>
        <w:ind w:firstLine="480" w:firstLineChars="200"/>
        <w:jc w:val="left"/>
        <w:textAlignment w:val="auto"/>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（1）“合同”系指</w:t>
      </w:r>
      <w:r>
        <w:rPr>
          <w:rFonts w:hint="eastAsia" w:ascii="仿宋_GB2312" w:hAnsi="仿宋_GB2312" w:eastAsia="仿宋_GB2312" w:cs="仿宋_GB2312"/>
          <w:bCs/>
          <w:color w:val="000000" w:themeColor="text1"/>
          <w:sz w:val="24"/>
          <w:highlight w:val="none"/>
          <w14:textFill>
            <w14:solidFill>
              <w14:schemeClr w14:val="tx1"/>
            </w14:solidFill>
          </w14:textFill>
        </w:rPr>
        <w:t>合同当事人意思表示达成一致的任何协议，包括签署的</w:t>
      </w:r>
      <w:r>
        <w:rPr>
          <w:rFonts w:hint="eastAsia" w:ascii="仿宋_GB2312" w:hAnsi="仿宋_GB2312" w:eastAsia="仿宋_GB2312" w:cs="仿宋_GB2312"/>
          <w:sz w:val="24"/>
          <w:highlight w:val="none"/>
        </w:rPr>
        <w:t>政府采购合同协议书及其变更、补充协议，政府采购合同专用条款，政府采购合同通用条款，中标（成交）通知书，投标（响应）文件，采购文件，有关技术文件和图纸，以及</w:t>
      </w:r>
      <w:r>
        <w:rPr>
          <w:rFonts w:hint="eastAsia" w:ascii="仿宋_GB2312" w:hAnsi="仿宋_GB2312" w:eastAsia="仿宋_GB2312" w:cs="仿宋_GB2312"/>
          <w:color w:val="000000" w:themeColor="text1"/>
          <w:sz w:val="24"/>
          <w:highlight w:val="none"/>
          <w14:textFill>
            <w14:solidFill>
              <w14:schemeClr w14:val="tx1"/>
            </w14:solidFill>
          </w14:textFill>
        </w:rPr>
        <w:t>国家法律、行政法规和规章制度规定或合同约定的作为合同组成部分的其他文件</w:t>
      </w:r>
      <w:r>
        <w:rPr>
          <w:rFonts w:hint="eastAsia" w:ascii="仿宋_GB2312" w:hAnsi="仿宋_GB2312" w:eastAsia="仿宋_GB2312" w:cs="仿宋_GB2312"/>
          <w:sz w:val="24"/>
          <w:highlight w:val="none"/>
        </w:rPr>
        <w:t>。</w:t>
      </w:r>
    </w:p>
    <w:p w14:paraId="63813E1A">
      <w:pPr>
        <w:keepLines w:val="0"/>
        <w:pageBreakBefore w:val="0"/>
        <w:tabs>
          <w:tab w:val="left" w:pos="570"/>
          <w:tab w:val="left" w:pos="9240"/>
          <w:tab w:val="left" w:pos="9555"/>
        </w:tabs>
        <w:kinsoku/>
        <w:wordWrap/>
        <w:overflowPunct/>
        <w:topLinePunct w:val="0"/>
        <w:bidi w:val="0"/>
        <w:adjustRightInd w:val="0"/>
        <w:snapToGrid w:val="0"/>
        <w:spacing w:line="360" w:lineRule="exact"/>
        <w:ind w:firstLine="480" w:firstLineChars="200"/>
        <w:jc w:val="left"/>
        <w:textAlignment w:val="auto"/>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（2）“合同价款”系指根据本合同规定乙方在全面履行合同义务后甲方应支付给乙方的价款。</w:t>
      </w:r>
    </w:p>
    <w:p w14:paraId="3244933A">
      <w:pPr>
        <w:keepLines w:val="0"/>
        <w:pageBreakBefore w:val="0"/>
        <w:tabs>
          <w:tab w:val="left" w:pos="570"/>
          <w:tab w:val="left" w:pos="9240"/>
          <w:tab w:val="left" w:pos="9555"/>
        </w:tabs>
        <w:kinsoku/>
        <w:wordWrap/>
        <w:overflowPunct/>
        <w:topLinePunct w:val="0"/>
        <w:bidi w:val="0"/>
        <w:adjustRightInd w:val="0"/>
        <w:snapToGrid w:val="0"/>
        <w:spacing w:line="360" w:lineRule="exact"/>
        <w:ind w:firstLine="480" w:firstLineChars="200"/>
        <w:jc w:val="left"/>
        <w:textAlignment w:val="auto"/>
        <w:rPr>
          <w:rFonts w:ascii="仿宋_GB2312" w:hAnsi="仿宋_GB2312" w:eastAsia="仿宋_GB2312" w:cs="仿宋_GB2312"/>
          <w:color w:val="000000" w:themeColor="text1"/>
          <w:sz w:val="24"/>
          <w:highlight w:val="none"/>
          <w14:textFill>
            <w14:solidFill>
              <w14:schemeClr w14:val="tx1"/>
            </w14:solidFill>
          </w14:textFill>
        </w:rPr>
      </w:pPr>
      <w:r>
        <w:rPr>
          <w:rFonts w:hint="eastAsia" w:ascii="仿宋_GB2312" w:hAnsi="仿宋_GB2312" w:eastAsia="仿宋_GB2312" w:cs="仿宋_GB2312"/>
          <w:sz w:val="24"/>
          <w:highlight w:val="none"/>
        </w:rPr>
        <w:t>（3）“货物”系指乙方根据本合同规定须向甲方提供的各种形态和种类的物品，包括原材料、设备、产品（</w:t>
      </w:r>
      <w:r>
        <w:rPr>
          <w:rFonts w:hint="eastAsia" w:ascii="仿宋_GB2312" w:hAnsi="仿宋_GB2312" w:eastAsia="仿宋_GB2312" w:cs="仿宋_GB2312"/>
          <w:color w:val="000000" w:themeColor="text1"/>
          <w:sz w:val="24"/>
          <w:highlight w:val="none"/>
          <w14:textFill>
            <w14:solidFill>
              <w14:schemeClr w14:val="tx1"/>
            </w14:solidFill>
          </w14:textFill>
        </w:rPr>
        <w:t>包括软件）及相关的其备品备件、工具、手册及</w:t>
      </w:r>
      <w:r>
        <w:rPr>
          <w:rFonts w:hint="eastAsia" w:ascii="仿宋_GB2312" w:hAnsi="仿宋_GB2312" w:eastAsia="仿宋_GB2312" w:cs="仿宋_GB2312"/>
          <w:color w:val="000000" w:themeColor="text1"/>
          <w:sz w:val="24"/>
          <w:highlight w:val="none"/>
          <w:lang w:val="en"/>
          <w14:textFill>
            <w14:solidFill>
              <w14:schemeClr w14:val="tx1"/>
            </w14:solidFill>
          </w14:textFill>
        </w:rPr>
        <w:t>其他</w:t>
      </w:r>
      <w:r>
        <w:rPr>
          <w:rFonts w:hint="eastAsia" w:ascii="仿宋_GB2312" w:hAnsi="仿宋_GB2312" w:eastAsia="仿宋_GB2312" w:cs="仿宋_GB2312"/>
          <w:color w:val="000000" w:themeColor="text1"/>
          <w:sz w:val="24"/>
          <w:highlight w:val="none"/>
          <w14:textFill>
            <w14:solidFill>
              <w14:schemeClr w14:val="tx1"/>
            </w14:solidFill>
          </w14:textFill>
        </w:rPr>
        <w:t>技术资料和材料等。</w:t>
      </w:r>
    </w:p>
    <w:p w14:paraId="2191BAA7">
      <w:pPr>
        <w:keepLines w:val="0"/>
        <w:pageBreakBefore w:val="0"/>
        <w:kinsoku/>
        <w:wordWrap/>
        <w:overflowPunct/>
        <w:topLinePunct w:val="0"/>
        <w:bidi w:val="0"/>
        <w:adjustRightInd w:val="0"/>
        <w:snapToGrid w:val="0"/>
        <w:spacing w:line="360" w:lineRule="exact"/>
        <w:ind w:firstLine="480" w:firstLineChars="200"/>
        <w:jc w:val="left"/>
        <w:textAlignment w:val="auto"/>
        <w:rPr>
          <w:rFonts w:ascii="仿宋_GB2312" w:hAnsi="仿宋_GB2312" w:eastAsia="仿宋_GB2312" w:cs="仿宋_GB2312"/>
          <w:color w:val="000000" w:themeColor="text1"/>
          <w:sz w:val="24"/>
          <w:highlight w:val="none"/>
          <w14:textFill>
            <w14:solidFill>
              <w14:schemeClr w14:val="tx1"/>
            </w14:solidFill>
          </w14:textFill>
        </w:rPr>
      </w:pPr>
      <w:r>
        <w:rPr>
          <w:rFonts w:hint="eastAsia" w:ascii="仿宋_GB2312" w:hAnsi="仿宋_GB2312" w:eastAsia="仿宋_GB2312" w:cs="仿宋_GB2312"/>
          <w:color w:val="000000" w:themeColor="text1"/>
          <w:sz w:val="24"/>
          <w:highlight w:val="none"/>
          <w14:textFill>
            <w14:solidFill>
              <w14:schemeClr w14:val="tx1"/>
            </w14:solidFill>
          </w14:textFill>
        </w:rPr>
        <w:t>（4）“</w:t>
      </w:r>
      <w:r>
        <w:rPr>
          <w:rFonts w:hint="eastAsia" w:ascii="仿宋_GB2312" w:hAnsi="仿宋_GB2312" w:eastAsia="仿宋_GB2312" w:cs="仿宋_GB2312"/>
          <w:sz w:val="24"/>
          <w:highlight w:val="none"/>
        </w:rPr>
        <w:t>相关</w:t>
      </w:r>
      <w:r>
        <w:rPr>
          <w:rFonts w:hint="eastAsia" w:ascii="仿宋_GB2312" w:hAnsi="仿宋_GB2312" w:eastAsia="仿宋_GB2312" w:cs="仿宋_GB2312"/>
          <w:color w:val="000000" w:themeColor="text1"/>
          <w:sz w:val="24"/>
          <w:highlight w:val="none"/>
          <w14:textFill>
            <w14:solidFill>
              <w14:schemeClr w14:val="tx1"/>
            </w14:solidFill>
          </w14:textFill>
        </w:rPr>
        <w:t>服务”系指根据合同规定，乙方应提供的与货物有关的技术、管理和</w:t>
      </w:r>
      <w:r>
        <w:rPr>
          <w:rFonts w:hint="eastAsia" w:ascii="仿宋_GB2312" w:hAnsi="仿宋_GB2312" w:eastAsia="仿宋_GB2312" w:cs="仿宋_GB2312"/>
          <w:color w:val="000000" w:themeColor="text1"/>
          <w:sz w:val="24"/>
          <w:highlight w:val="none"/>
          <w:lang w:val="en"/>
          <w14:textFill>
            <w14:solidFill>
              <w14:schemeClr w14:val="tx1"/>
            </w14:solidFill>
          </w14:textFill>
        </w:rPr>
        <w:t>其他</w:t>
      </w:r>
      <w:r>
        <w:rPr>
          <w:rFonts w:hint="eastAsia" w:ascii="仿宋_GB2312" w:hAnsi="仿宋_GB2312" w:eastAsia="仿宋_GB2312" w:cs="仿宋_GB2312"/>
          <w:color w:val="000000" w:themeColor="text1"/>
          <w:sz w:val="24"/>
          <w:highlight w:val="none"/>
          <w14:textFill>
            <w14:solidFill>
              <w14:schemeClr w14:val="tx1"/>
            </w14:solidFill>
          </w14:textFill>
        </w:rPr>
        <w:t>服务，包括但不限于：管理和质量保证、运输、保险、检验、现场准备、安装、集成、调试、培训、维修、废弃处置、技术支持等以及合同中规定乙方应承担的</w:t>
      </w:r>
      <w:r>
        <w:rPr>
          <w:rFonts w:hint="eastAsia" w:ascii="仿宋_GB2312" w:hAnsi="仿宋_GB2312" w:eastAsia="仿宋_GB2312" w:cs="仿宋_GB2312"/>
          <w:color w:val="000000" w:themeColor="text1"/>
          <w:sz w:val="24"/>
          <w:highlight w:val="none"/>
          <w:lang w:val="en"/>
          <w14:textFill>
            <w14:solidFill>
              <w14:schemeClr w14:val="tx1"/>
            </w14:solidFill>
          </w14:textFill>
        </w:rPr>
        <w:t>其他</w:t>
      </w:r>
      <w:r>
        <w:rPr>
          <w:rFonts w:hint="eastAsia" w:ascii="仿宋_GB2312" w:hAnsi="仿宋_GB2312" w:eastAsia="仿宋_GB2312" w:cs="仿宋_GB2312"/>
          <w:color w:val="000000" w:themeColor="text1"/>
          <w:sz w:val="24"/>
          <w:highlight w:val="none"/>
          <w14:textFill>
            <w14:solidFill>
              <w14:schemeClr w14:val="tx1"/>
            </w14:solidFill>
          </w14:textFill>
        </w:rPr>
        <w:t>义务。</w:t>
      </w:r>
    </w:p>
    <w:p w14:paraId="4B6BDFC4">
      <w:pPr>
        <w:keepLines w:val="0"/>
        <w:pageBreakBefore w:val="0"/>
        <w:kinsoku/>
        <w:wordWrap/>
        <w:overflowPunct/>
        <w:topLinePunct w:val="0"/>
        <w:bidi w:val="0"/>
        <w:adjustRightInd w:val="0"/>
        <w:snapToGrid w:val="0"/>
        <w:spacing w:line="360" w:lineRule="exact"/>
        <w:ind w:firstLine="480" w:firstLineChars="200"/>
        <w:jc w:val="left"/>
        <w:textAlignment w:val="auto"/>
        <w:rPr>
          <w:rFonts w:ascii="仿宋_GB2312" w:hAnsi="仿宋_GB2312" w:eastAsia="仿宋_GB2312" w:cs="仿宋_GB2312"/>
          <w:color w:val="000000" w:themeColor="text1"/>
          <w:sz w:val="24"/>
          <w:highlight w:val="none"/>
          <w14:textFill>
            <w14:solidFill>
              <w14:schemeClr w14:val="tx1"/>
            </w14:solidFill>
          </w14:textFill>
        </w:rPr>
      </w:pPr>
      <w:r>
        <w:rPr>
          <w:rFonts w:hint="eastAsia" w:ascii="仿宋_GB2312" w:hAnsi="仿宋_GB2312" w:eastAsia="仿宋_GB2312" w:cs="仿宋_GB2312"/>
          <w:color w:val="000000" w:themeColor="text1"/>
          <w:sz w:val="24"/>
          <w:highlight w:val="none"/>
          <w14:textFill>
            <w14:solidFill>
              <w14:schemeClr w14:val="tx1"/>
            </w14:solidFill>
          </w14:textFill>
        </w:rPr>
        <w:t>（5）“分包”系指中标（成交）供应商按采购文件、投标（响应）文件的规定，根据分包意向协议，将中标（成交）项目中的部分履约内容，分给具有相应资质条件的供应商履行合同的行为。</w:t>
      </w:r>
    </w:p>
    <w:p w14:paraId="62B5B5C0">
      <w:pPr>
        <w:keepLines w:val="0"/>
        <w:pageBreakBefore w:val="0"/>
        <w:tabs>
          <w:tab w:val="left" w:pos="570"/>
          <w:tab w:val="left" w:pos="9240"/>
          <w:tab w:val="left" w:pos="9555"/>
        </w:tabs>
        <w:kinsoku/>
        <w:wordWrap/>
        <w:overflowPunct/>
        <w:topLinePunct w:val="0"/>
        <w:bidi w:val="0"/>
        <w:adjustRightInd w:val="0"/>
        <w:snapToGrid w:val="0"/>
        <w:spacing w:line="360" w:lineRule="exact"/>
        <w:ind w:firstLine="480" w:firstLineChars="200"/>
        <w:jc w:val="left"/>
        <w:textAlignment w:val="auto"/>
        <w:rPr>
          <w:rFonts w:ascii="仿宋_GB2312" w:hAnsi="仿宋_GB2312" w:eastAsia="仿宋_GB2312" w:cs="仿宋_GB2312"/>
          <w:color w:val="000000" w:themeColor="text1"/>
          <w:sz w:val="24"/>
          <w:highlight w:val="none"/>
          <w14:textFill>
            <w14:solidFill>
              <w14:schemeClr w14:val="tx1"/>
            </w14:solidFill>
          </w14:textFill>
        </w:rPr>
      </w:pPr>
      <w:r>
        <w:rPr>
          <w:rFonts w:hint="eastAsia" w:ascii="仿宋_GB2312" w:hAnsi="仿宋_GB2312" w:eastAsia="仿宋_GB2312" w:cs="仿宋_GB2312"/>
          <w:color w:val="000000" w:themeColor="text1"/>
          <w:sz w:val="24"/>
          <w:highlight w:val="none"/>
          <w14:textFill>
            <w14:solidFill>
              <w14:schemeClr w14:val="tx1"/>
            </w14:solidFill>
          </w14:textFill>
        </w:rPr>
        <w:t>（6）</w:t>
      </w:r>
      <w:r>
        <w:rPr>
          <w:rFonts w:hint="eastAsia" w:ascii="仿宋_GB2312" w:hAnsi="仿宋_GB2312" w:eastAsia="仿宋_GB2312" w:cs="仿宋_GB2312"/>
          <w:sz w:val="24"/>
          <w:highlight w:val="none"/>
        </w:rPr>
        <w:t>“联合体”系指由两个以上的自然人、法人或者非法人组织组成，以一个供应商的身份共同参加政府采购的主体</w:t>
      </w:r>
      <w:r>
        <w:rPr>
          <w:rFonts w:hint="eastAsia" w:ascii="仿宋_GB2312" w:hAnsi="仿宋_GB2312" w:eastAsia="仿宋_GB2312" w:cs="仿宋_GB2312"/>
          <w:color w:val="000000" w:themeColor="text1"/>
          <w:sz w:val="24"/>
          <w:highlight w:val="none"/>
          <w14:textFill>
            <w14:solidFill>
              <w14:schemeClr w14:val="tx1"/>
            </w14:solidFill>
          </w14:textFill>
        </w:rPr>
        <w:t>。联合体各方应在签订合同协议书前向甲方提交联合协议，且明确牵头人及各成员单位的工作分工、权利、义务、责任，联合体各方应共同与甲方签订合同，就合同约定的事项对甲方承担连带责任。联合体具体要求见【</w:t>
      </w:r>
      <w:r>
        <w:rPr>
          <w:rFonts w:hint="eastAsia" w:ascii="仿宋_GB2312" w:hAnsi="仿宋_GB2312" w:eastAsia="仿宋_GB2312" w:cs="仿宋_GB2312"/>
          <w:b/>
          <w:bCs/>
          <w:color w:val="000000" w:themeColor="text1"/>
          <w:sz w:val="24"/>
          <w:highlight w:val="none"/>
          <w14:textFill>
            <w14:solidFill>
              <w14:schemeClr w14:val="tx1"/>
            </w14:solidFill>
          </w14:textFill>
        </w:rPr>
        <w:t>政府采购合同专用条款</w:t>
      </w:r>
      <w:r>
        <w:rPr>
          <w:rFonts w:hint="eastAsia" w:ascii="仿宋_GB2312" w:hAnsi="仿宋_GB2312" w:eastAsia="仿宋_GB2312" w:cs="仿宋_GB2312"/>
          <w:color w:val="000000" w:themeColor="text1"/>
          <w:sz w:val="24"/>
          <w:highlight w:val="none"/>
          <w14:textFill>
            <w14:solidFill>
              <w14:schemeClr w14:val="tx1"/>
            </w14:solidFill>
          </w14:textFill>
        </w:rPr>
        <w:t>】。</w:t>
      </w:r>
    </w:p>
    <w:p w14:paraId="33013471">
      <w:pPr>
        <w:keepLines w:val="0"/>
        <w:pageBreakBefore w:val="0"/>
        <w:tabs>
          <w:tab w:val="left" w:pos="570"/>
          <w:tab w:val="left" w:pos="9240"/>
          <w:tab w:val="left" w:pos="9555"/>
        </w:tabs>
        <w:kinsoku/>
        <w:wordWrap/>
        <w:overflowPunct/>
        <w:topLinePunct w:val="0"/>
        <w:bidi w:val="0"/>
        <w:adjustRightInd w:val="0"/>
        <w:snapToGrid w:val="0"/>
        <w:spacing w:line="360" w:lineRule="exact"/>
        <w:ind w:firstLine="480" w:firstLineChars="200"/>
        <w:jc w:val="left"/>
        <w:textAlignment w:val="auto"/>
        <w:rPr>
          <w:rFonts w:ascii="仿宋_GB2312" w:hAnsi="仿宋_GB2312" w:eastAsia="仿宋_GB2312" w:cs="仿宋_GB2312"/>
          <w:color w:val="000000" w:themeColor="text1"/>
          <w:sz w:val="24"/>
          <w:highlight w:val="none"/>
          <w14:textFill>
            <w14:solidFill>
              <w14:schemeClr w14:val="tx1"/>
            </w14:solidFill>
          </w14:textFill>
        </w:rPr>
      </w:pPr>
      <w:r>
        <w:rPr>
          <w:rFonts w:hint="eastAsia" w:ascii="仿宋_GB2312" w:hAnsi="仿宋_GB2312" w:eastAsia="仿宋_GB2312" w:cs="仿宋_GB2312"/>
          <w:color w:val="000000" w:themeColor="text1"/>
          <w:sz w:val="24"/>
          <w:highlight w:val="none"/>
          <w14:textFill>
            <w14:solidFill>
              <w14:schemeClr w14:val="tx1"/>
            </w14:solidFill>
          </w14:textFill>
        </w:rPr>
        <w:t>（7）其他术语解释，见【</w:t>
      </w:r>
      <w:r>
        <w:rPr>
          <w:rFonts w:hint="eastAsia" w:ascii="仿宋_GB2312" w:hAnsi="仿宋_GB2312" w:eastAsia="仿宋_GB2312" w:cs="仿宋_GB2312"/>
          <w:b/>
          <w:bCs/>
          <w:color w:val="000000" w:themeColor="text1"/>
          <w:sz w:val="24"/>
          <w:highlight w:val="none"/>
          <w14:textFill>
            <w14:solidFill>
              <w14:schemeClr w14:val="tx1"/>
            </w14:solidFill>
          </w14:textFill>
        </w:rPr>
        <w:t>政府采购合同专用条款</w:t>
      </w:r>
      <w:r>
        <w:rPr>
          <w:rFonts w:hint="eastAsia" w:ascii="仿宋_GB2312" w:hAnsi="仿宋_GB2312" w:eastAsia="仿宋_GB2312" w:cs="仿宋_GB2312"/>
          <w:color w:val="000000" w:themeColor="text1"/>
          <w:sz w:val="24"/>
          <w:highlight w:val="none"/>
          <w14:textFill>
            <w14:solidFill>
              <w14:schemeClr w14:val="tx1"/>
            </w14:solidFill>
          </w14:textFill>
        </w:rPr>
        <w:t>】。</w:t>
      </w:r>
    </w:p>
    <w:p w14:paraId="5C5851A9">
      <w:pPr>
        <w:keepLines w:val="0"/>
        <w:pageBreakBefore w:val="0"/>
        <w:numPr>
          <w:ilvl w:val="0"/>
          <w:numId w:val="5"/>
        </w:numPr>
        <w:kinsoku/>
        <w:wordWrap/>
        <w:overflowPunct/>
        <w:topLinePunct w:val="0"/>
        <w:autoSpaceDE w:val="0"/>
        <w:autoSpaceDN w:val="0"/>
        <w:bidi w:val="0"/>
        <w:adjustRightInd w:val="0"/>
        <w:snapToGrid w:val="0"/>
        <w:spacing w:line="360" w:lineRule="exact"/>
        <w:jc w:val="left"/>
        <w:textAlignment w:val="auto"/>
        <w:rPr>
          <w:rFonts w:ascii="仿宋_GB2312" w:hAnsi="仿宋_GB2312" w:eastAsia="仿宋_GB2312" w:cs="仿宋_GB2312"/>
          <w:b/>
          <w:bCs/>
          <w:color w:val="000000" w:themeColor="text1"/>
          <w:sz w:val="24"/>
          <w:highlight w:val="none"/>
          <w14:textFill>
            <w14:solidFill>
              <w14:schemeClr w14:val="tx1"/>
            </w14:solidFill>
          </w14:textFill>
        </w:rPr>
      </w:pPr>
      <w:r>
        <w:rPr>
          <w:rFonts w:hint="eastAsia" w:ascii="仿宋_GB2312" w:hAnsi="仿宋_GB2312" w:eastAsia="仿宋_GB2312" w:cs="仿宋_GB2312"/>
          <w:b/>
          <w:color w:val="000000" w:themeColor="text1"/>
          <w:sz w:val="24"/>
          <w:highlight w:val="none"/>
          <w14:textFill>
            <w14:solidFill>
              <w14:schemeClr w14:val="tx1"/>
            </w14:solidFill>
          </w14:textFill>
        </w:rPr>
        <w:t>合同标的及金额</w:t>
      </w:r>
    </w:p>
    <w:p w14:paraId="58DD63B4">
      <w:pPr>
        <w:keepLines w:val="0"/>
        <w:pageBreakBefore w:val="0"/>
        <w:kinsoku/>
        <w:wordWrap/>
        <w:overflowPunct/>
        <w:topLinePunct w:val="0"/>
        <w:autoSpaceDE w:val="0"/>
        <w:autoSpaceDN w:val="0"/>
        <w:bidi w:val="0"/>
        <w:adjustRightInd w:val="0"/>
        <w:snapToGrid w:val="0"/>
        <w:spacing w:line="360" w:lineRule="exact"/>
        <w:ind w:firstLine="480" w:firstLineChars="200"/>
        <w:jc w:val="left"/>
        <w:textAlignment w:val="auto"/>
        <w:rPr>
          <w:rFonts w:ascii="仿宋_GB2312" w:hAnsi="仿宋_GB2312" w:eastAsia="仿宋_GB2312" w:cs="仿宋_GB2312"/>
          <w:b/>
          <w:bCs/>
          <w:i/>
          <w:iCs/>
          <w:color w:val="000000" w:themeColor="text1"/>
          <w:sz w:val="24"/>
          <w:highlight w:val="none"/>
          <w14:textFill>
            <w14:solidFill>
              <w14:schemeClr w14:val="tx1"/>
            </w14:solidFill>
          </w14:textFill>
        </w:rPr>
      </w:pPr>
      <w:r>
        <w:rPr>
          <w:rFonts w:hint="eastAsia" w:ascii="仿宋_GB2312" w:hAnsi="仿宋_GB2312" w:eastAsia="仿宋_GB2312" w:cs="仿宋_GB2312"/>
          <w:color w:val="000000" w:themeColor="text1"/>
          <w:sz w:val="24"/>
          <w:highlight w:val="none"/>
          <w14:textFill>
            <w14:solidFill>
              <w14:schemeClr w14:val="tx1"/>
            </w14:solidFill>
          </w14:textFill>
        </w:rPr>
        <w:t>2.1 合同标的及金额应与中标（成交）结果一致。乙方为履行本合同而发生的所有费用均应包含在合同价款中，甲方不再另行支付</w:t>
      </w:r>
      <w:r>
        <w:rPr>
          <w:rFonts w:hint="eastAsia" w:ascii="仿宋_GB2312" w:hAnsi="仿宋_GB2312" w:eastAsia="仿宋_GB2312" w:cs="仿宋_GB2312"/>
          <w:color w:val="000000" w:themeColor="text1"/>
          <w:sz w:val="24"/>
          <w:highlight w:val="none"/>
          <w:lang w:val="en"/>
          <w14:textFill>
            <w14:solidFill>
              <w14:schemeClr w14:val="tx1"/>
            </w14:solidFill>
          </w14:textFill>
        </w:rPr>
        <w:t>其他</w:t>
      </w:r>
      <w:r>
        <w:rPr>
          <w:rFonts w:hint="eastAsia" w:ascii="仿宋_GB2312" w:hAnsi="仿宋_GB2312" w:eastAsia="仿宋_GB2312" w:cs="仿宋_GB2312"/>
          <w:color w:val="000000" w:themeColor="text1"/>
          <w:sz w:val="24"/>
          <w:highlight w:val="none"/>
          <w14:textFill>
            <w14:solidFill>
              <w14:schemeClr w14:val="tx1"/>
            </w14:solidFill>
          </w14:textFill>
        </w:rPr>
        <w:t>任何费用。</w:t>
      </w:r>
    </w:p>
    <w:p w14:paraId="1BD35982">
      <w:pPr>
        <w:keepLines w:val="0"/>
        <w:pageBreakBefore w:val="0"/>
        <w:kinsoku/>
        <w:wordWrap/>
        <w:overflowPunct/>
        <w:topLinePunct w:val="0"/>
        <w:bidi w:val="0"/>
        <w:adjustRightInd w:val="0"/>
        <w:snapToGrid w:val="0"/>
        <w:spacing w:line="360" w:lineRule="exact"/>
        <w:jc w:val="left"/>
        <w:textAlignment w:val="auto"/>
        <w:rPr>
          <w:rFonts w:ascii="仿宋_GB2312" w:hAnsi="仿宋_GB2312" w:eastAsia="仿宋_GB2312" w:cs="仿宋_GB2312"/>
          <w:b/>
          <w:color w:val="000000" w:themeColor="text1"/>
          <w:sz w:val="24"/>
          <w:highlight w:val="none"/>
          <w14:textFill>
            <w14:solidFill>
              <w14:schemeClr w14:val="tx1"/>
            </w14:solidFill>
          </w14:textFill>
        </w:rPr>
      </w:pPr>
      <w:r>
        <w:rPr>
          <w:rFonts w:hint="eastAsia" w:ascii="仿宋_GB2312" w:hAnsi="仿宋_GB2312" w:eastAsia="仿宋_GB2312" w:cs="仿宋_GB2312"/>
          <w:b/>
          <w:color w:val="000000" w:themeColor="text1"/>
          <w:sz w:val="24"/>
          <w:highlight w:val="none"/>
          <w14:textFill>
            <w14:solidFill>
              <w14:schemeClr w14:val="tx1"/>
            </w14:solidFill>
          </w14:textFill>
        </w:rPr>
        <w:t>3. 履行合同的时间、地点和方式</w:t>
      </w:r>
    </w:p>
    <w:p w14:paraId="146DB7A4">
      <w:pPr>
        <w:keepLines w:val="0"/>
        <w:pageBreakBefore w:val="0"/>
        <w:kinsoku/>
        <w:wordWrap/>
        <w:overflowPunct/>
        <w:topLinePunct w:val="0"/>
        <w:autoSpaceDE w:val="0"/>
        <w:autoSpaceDN w:val="0"/>
        <w:bidi w:val="0"/>
        <w:adjustRightInd w:val="0"/>
        <w:snapToGrid w:val="0"/>
        <w:spacing w:line="360" w:lineRule="exact"/>
        <w:ind w:firstLine="480" w:firstLineChars="200"/>
        <w:jc w:val="left"/>
        <w:textAlignment w:val="auto"/>
        <w:rPr>
          <w:rFonts w:ascii="仿宋_GB2312" w:hAnsi="仿宋_GB2312" w:eastAsia="仿宋_GB2312" w:cs="仿宋_GB2312"/>
          <w:color w:val="000000" w:themeColor="text1"/>
          <w:sz w:val="24"/>
          <w:highlight w:val="none"/>
          <w14:textFill>
            <w14:solidFill>
              <w14:schemeClr w14:val="tx1"/>
            </w14:solidFill>
          </w14:textFill>
        </w:rPr>
      </w:pPr>
      <w:r>
        <w:rPr>
          <w:rFonts w:hint="eastAsia" w:ascii="仿宋_GB2312" w:hAnsi="仿宋_GB2312" w:eastAsia="仿宋_GB2312" w:cs="仿宋_GB2312"/>
          <w:color w:val="000000" w:themeColor="text1"/>
          <w:sz w:val="24"/>
          <w:highlight w:val="none"/>
          <w14:textFill>
            <w14:solidFill>
              <w14:schemeClr w14:val="tx1"/>
            </w14:solidFill>
          </w14:textFill>
        </w:rPr>
        <w:t xml:space="preserve">3.1 </w:t>
      </w:r>
      <w:r>
        <w:rPr>
          <w:rFonts w:hint="eastAsia" w:ascii="仿宋_GB2312" w:hAnsi="仿宋_GB2312" w:eastAsia="仿宋_GB2312" w:cs="仿宋_GB2312"/>
          <w:sz w:val="24"/>
          <w:highlight w:val="none"/>
        </w:rPr>
        <w:t>乙方应当在约定的时间、地点，按照约定方式履行合同。</w:t>
      </w:r>
    </w:p>
    <w:p w14:paraId="5A0F85F1">
      <w:pPr>
        <w:keepLines w:val="0"/>
        <w:pageBreakBefore w:val="0"/>
        <w:kinsoku/>
        <w:wordWrap/>
        <w:overflowPunct/>
        <w:topLinePunct w:val="0"/>
        <w:autoSpaceDE w:val="0"/>
        <w:autoSpaceDN w:val="0"/>
        <w:bidi w:val="0"/>
        <w:adjustRightInd w:val="0"/>
        <w:snapToGrid w:val="0"/>
        <w:spacing w:line="360" w:lineRule="exact"/>
        <w:jc w:val="left"/>
        <w:textAlignment w:val="auto"/>
        <w:rPr>
          <w:rFonts w:ascii="仿宋_GB2312" w:hAnsi="仿宋_GB2312" w:eastAsia="仿宋_GB2312" w:cs="仿宋_GB2312"/>
          <w:b/>
          <w:bCs/>
          <w:color w:val="000000" w:themeColor="text1"/>
          <w:sz w:val="24"/>
          <w:highlight w:val="none"/>
          <w14:textFill>
            <w14:solidFill>
              <w14:schemeClr w14:val="tx1"/>
            </w14:solidFill>
          </w14:textFill>
        </w:rPr>
      </w:pPr>
      <w:r>
        <w:rPr>
          <w:rFonts w:hint="eastAsia" w:ascii="仿宋_GB2312" w:hAnsi="仿宋_GB2312" w:eastAsia="仿宋_GB2312" w:cs="仿宋_GB2312"/>
          <w:b/>
          <w:bCs/>
          <w:color w:val="000000" w:themeColor="text1"/>
          <w:sz w:val="24"/>
          <w:highlight w:val="none"/>
          <w14:textFill>
            <w14:solidFill>
              <w14:schemeClr w14:val="tx1"/>
            </w14:solidFill>
          </w14:textFill>
        </w:rPr>
        <w:t>4. 甲方的权利和义务</w:t>
      </w:r>
    </w:p>
    <w:p w14:paraId="382C256C">
      <w:pPr>
        <w:keepLines w:val="0"/>
        <w:pageBreakBefore w:val="0"/>
        <w:kinsoku/>
        <w:wordWrap/>
        <w:overflowPunct/>
        <w:topLinePunct w:val="0"/>
        <w:autoSpaceDE w:val="0"/>
        <w:autoSpaceDN w:val="0"/>
        <w:bidi w:val="0"/>
        <w:adjustRightInd w:val="0"/>
        <w:snapToGrid w:val="0"/>
        <w:spacing w:line="360" w:lineRule="exact"/>
        <w:ind w:firstLine="480" w:firstLineChars="200"/>
        <w:jc w:val="left"/>
        <w:textAlignment w:val="auto"/>
        <w:rPr>
          <w:rFonts w:ascii="仿宋_GB2312" w:hAnsi="仿宋_GB2312" w:eastAsia="仿宋_GB2312" w:cs="仿宋_GB2312"/>
          <w:color w:val="000000" w:themeColor="text1"/>
          <w:sz w:val="24"/>
          <w:highlight w:val="none"/>
          <w14:textFill>
            <w14:solidFill>
              <w14:schemeClr w14:val="tx1"/>
            </w14:solidFill>
          </w14:textFill>
        </w:rPr>
      </w:pPr>
      <w:r>
        <w:rPr>
          <w:rFonts w:hint="eastAsia" w:ascii="仿宋_GB2312" w:hAnsi="仿宋_GB2312" w:eastAsia="仿宋_GB2312" w:cs="仿宋_GB2312"/>
          <w:color w:val="000000" w:themeColor="text1"/>
          <w:sz w:val="24"/>
          <w:highlight w:val="none"/>
          <w14:textFill>
            <w14:solidFill>
              <w14:schemeClr w14:val="tx1"/>
            </w14:solidFill>
          </w14:textFill>
        </w:rPr>
        <w:t>4.1 签署合同后，甲方应确定项目负责人（或项目联系人），负责与本合同有关的事务。甲方有权对乙方的履约行为进行检查，并及时确认乙方提交的事项。甲方应当配合乙方完成相关项目实施工作。</w:t>
      </w:r>
    </w:p>
    <w:p w14:paraId="0A570250">
      <w:pPr>
        <w:keepLines w:val="0"/>
        <w:pageBreakBefore w:val="0"/>
        <w:kinsoku/>
        <w:wordWrap/>
        <w:overflowPunct/>
        <w:topLinePunct w:val="0"/>
        <w:autoSpaceDE w:val="0"/>
        <w:autoSpaceDN w:val="0"/>
        <w:bidi w:val="0"/>
        <w:adjustRightInd w:val="0"/>
        <w:snapToGrid w:val="0"/>
        <w:spacing w:line="360" w:lineRule="exact"/>
        <w:ind w:firstLine="480" w:firstLineChars="200"/>
        <w:jc w:val="left"/>
        <w:textAlignment w:val="auto"/>
        <w:rPr>
          <w:rFonts w:ascii="仿宋_GB2312" w:hAnsi="仿宋_GB2312" w:eastAsia="仿宋_GB2312" w:cs="仿宋_GB2312"/>
          <w:color w:val="000000" w:themeColor="text1"/>
          <w:sz w:val="24"/>
          <w:highlight w:val="none"/>
          <w14:textFill>
            <w14:solidFill>
              <w14:schemeClr w14:val="tx1"/>
            </w14:solidFill>
          </w14:textFill>
        </w:rPr>
      </w:pPr>
      <w:r>
        <w:rPr>
          <w:rFonts w:hint="eastAsia" w:ascii="仿宋_GB2312" w:hAnsi="仿宋_GB2312" w:eastAsia="仿宋_GB2312" w:cs="仿宋_GB2312"/>
          <w:color w:val="000000" w:themeColor="text1"/>
          <w:sz w:val="24"/>
          <w:highlight w:val="none"/>
          <w14:textFill>
            <w14:solidFill>
              <w14:schemeClr w14:val="tx1"/>
            </w14:solidFill>
          </w14:textFill>
        </w:rPr>
        <w:t>4.2 甲方有权要求乙方按时提交各阶段有关安排计划，并有权定期核对乙方提供货物数量、规格、质量等内容。甲方有权督促乙方工作并要求乙方更换不符合要求的货物。</w:t>
      </w:r>
    </w:p>
    <w:p w14:paraId="28C9BD3D">
      <w:pPr>
        <w:keepLines w:val="0"/>
        <w:pageBreakBefore w:val="0"/>
        <w:kinsoku/>
        <w:wordWrap/>
        <w:overflowPunct/>
        <w:topLinePunct w:val="0"/>
        <w:autoSpaceDE w:val="0"/>
        <w:autoSpaceDN w:val="0"/>
        <w:bidi w:val="0"/>
        <w:adjustRightInd w:val="0"/>
        <w:snapToGrid w:val="0"/>
        <w:spacing w:line="360" w:lineRule="exact"/>
        <w:ind w:firstLine="480" w:firstLineChars="200"/>
        <w:jc w:val="left"/>
        <w:textAlignment w:val="auto"/>
        <w:rPr>
          <w:rFonts w:ascii="仿宋_GB2312" w:hAnsi="仿宋_GB2312" w:eastAsia="仿宋_GB2312" w:cs="仿宋_GB2312"/>
          <w:color w:val="000000" w:themeColor="text1"/>
          <w:sz w:val="24"/>
          <w:highlight w:val="none"/>
          <w14:textFill>
            <w14:solidFill>
              <w14:schemeClr w14:val="tx1"/>
            </w14:solidFill>
          </w14:textFill>
        </w:rPr>
      </w:pPr>
      <w:r>
        <w:rPr>
          <w:rFonts w:hint="eastAsia" w:ascii="仿宋_GB2312" w:hAnsi="仿宋_GB2312" w:eastAsia="仿宋_GB2312" w:cs="仿宋_GB2312"/>
          <w:color w:val="000000" w:themeColor="text1"/>
          <w:sz w:val="24"/>
          <w:highlight w:val="none"/>
          <w14:textFill>
            <w14:solidFill>
              <w14:schemeClr w14:val="tx1"/>
            </w14:solidFill>
          </w14:textFill>
        </w:rPr>
        <w:t>4.3 甲方有权要求乙方对缺陷部分予以修复，并按合同约定享有货物保修及其他合同约定的权利。</w:t>
      </w:r>
    </w:p>
    <w:p w14:paraId="52CEF407">
      <w:pPr>
        <w:keepLines w:val="0"/>
        <w:pageBreakBefore w:val="0"/>
        <w:kinsoku/>
        <w:wordWrap/>
        <w:overflowPunct/>
        <w:topLinePunct w:val="0"/>
        <w:bidi w:val="0"/>
        <w:snapToGrid w:val="0"/>
        <w:spacing w:line="360" w:lineRule="exact"/>
        <w:ind w:firstLine="480" w:firstLineChars="200"/>
        <w:textAlignment w:val="auto"/>
        <w:rPr>
          <w:rFonts w:ascii="仿宋_GB2312" w:hAnsi="仿宋_GB2312" w:eastAsia="仿宋_GB2312" w:cs="仿宋_GB2312"/>
          <w:sz w:val="24"/>
          <w:highlight w:val="none"/>
        </w:rPr>
      </w:pPr>
      <w:r>
        <w:rPr>
          <w:rFonts w:hint="eastAsia" w:ascii="仿宋_GB2312" w:hAnsi="仿宋_GB2312" w:eastAsia="仿宋_GB2312" w:cs="仿宋_GB2312"/>
          <w:color w:val="000000" w:themeColor="text1"/>
          <w:sz w:val="24"/>
          <w:highlight w:val="none"/>
          <w14:textFill>
            <w14:solidFill>
              <w14:schemeClr w14:val="tx1"/>
            </w14:solidFill>
          </w14:textFill>
        </w:rPr>
        <w:t>4.4 甲方应当按照合同约定及时对交付的货物进行验收，</w:t>
      </w:r>
      <w:r>
        <w:rPr>
          <w:rFonts w:hint="eastAsia" w:ascii="仿宋_GB2312" w:hAnsi="仿宋_GB2312" w:eastAsia="仿宋_GB2312" w:cs="仿宋_GB2312"/>
          <w:sz w:val="24"/>
          <w:highlight w:val="none"/>
        </w:rPr>
        <w:t>未</w:t>
      </w:r>
      <w:r>
        <w:rPr>
          <w:rFonts w:hint="eastAsia" w:ascii="仿宋_GB2312" w:hAnsi="仿宋_GB2312" w:eastAsia="仿宋_GB2312" w:cs="仿宋_GB2312"/>
          <w:color w:val="000000" w:themeColor="text1"/>
          <w:sz w:val="24"/>
          <w:highlight w:val="none"/>
          <w14:textFill>
            <w14:solidFill>
              <w14:schemeClr w14:val="tx1"/>
            </w14:solidFill>
          </w14:textFill>
        </w:rPr>
        <w:t>在</w:t>
      </w:r>
      <w:r>
        <w:rPr>
          <w:rFonts w:hint="eastAsia" w:ascii="仿宋_GB2312" w:hAnsi="仿宋_GB2312" w:eastAsia="仿宋_GB2312" w:cs="仿宋_GB2312"/>
          <w:b/>
          <w:bCs/>
          <w:sz w:val="24"/>
          <w:highlight w:val="none"/>
        </w:rPr>
        <w:t>【政府采购合同专用条款】</w:t>
      </w:r>
      <w:r>
        <w:rPr>
          <w:rFonts w:hint="eastAsia" w:ascii="仿宋_GB2312" w:hAnsi="仿宋_GB2312" w:eastAsia="仿宋_GB2312" w:cs="仿宋_GB2312"/>
          <w:sz w:val="24"/>
          <w:highlight w:val="none"/>
        </w:rPr>
        <w:t>约定的期限内对乙方履约提出任何异议或者向乙方作出任何说明的，</w:t>
      </w:r>
      <w:r>
        <w:rPr>
          <w:rFonts w:hint="eastAsia" w:ascii="仿宋_GB2312" w:hAnsi="仿宋_GB2312" w:eastAsia="仿宋_GB2312" w:cs="仿宋_GB2312"/>
          <w:color w:val="000000" w:themeColor="text1"/>
          <w:sz w:val="24"/>
          <w:highlight w:val="none"/>
          <w14:textFill>
            <w14:solidFill>
              <w14:schemeClr w14:val="tx1"/>
            </w14:solidFill>
          </w14:textFill>
        </w:rPr>
        <w:t>视为验收通过。</w:t>
      </w:r>
    </w:p>
    <w:p w14:paraId="4C5768A5">
      <w:pPr>
        <w:keepLines w:val="0"/>
        <w:pageBreakBefore w:val="0"/>
        <w:kinsoku/>
        <w:wordWrap/>
        <w:overflowPunct/>
        <w:topLinePunct w:val="0"/>
        <w:autoSpaceDE w:val="0"/>
        <w:autoSpaceDN w:val="0"/>
        <w:bidi w:val="0"/>
        <w:adjustRightInd w:val="0"/>
        <w:snapToGrid w:val="0"/>
        <w:spacing w:line="360" w:lineRule="exact"/>
        <w:ind w:firstLine="480" w:firstLineChars="200"/>
        <w:jc w:val="left"/>
        <w:textAlignment w:val="auto"/>
        <w:rPr>
          <w:rFonts w:ascii="仿宋_GB2312" w:hAnsi="仿宋_GB2312" w:eastAsia="仿宋_GB2312" w:cs="仿宋_GB2312"/>
          <w:color w:val="000000" w:themeColor="text1"/>
          <w:sz w:val="24"/>
          <w:highlight w:val="none"/>
          <w14:textFill>
            <w14:solidFill>
              <w14:schemeClr w14:val="tx1"/>
            </w14:solidFill>
          </w14:textFill>
        </w:rPr>
      </w:pPr>
      <w:r>
        <w:rPr>
          <w:rFonts w:hint="eastAsia" w:ascii="仿宋_GB2312" w:hAnsi="仿宋_GB2312" w:eastAsia="仿宋_GB2312" w:cs="仿宋_GB2312"/>
          <w:color w:val="000000" w:themeColor="text1"/>
          <w:sz w:val="24"/>
          <w:highlight w:val="none"/>
          <w14:textFill>
            <w14:solidFill>
              <w14:schemeClr w14:val="tx1"/>
            </w14:solidFill>
          </w14:textFill>
        </w:rPr>
        <w:t>4.5 甲方应当根据合同约定及时向乙方支付合同价款，不得以内部人员变更、履行内部付款流程等为由，拒绝或迟延支付。</w:t>
      </w:r>
    </w:p>
    <w:p w14:paraId="28954B27">
      <w:pPr>
        <w:keepLines w:val="0"/>
        <w:pageBreakBefore w:val="0"/>
        <w:kinsoku/>
        <w:wordWrap/>
        <w:overflowPunct/>
        <w:topLinePunct w:val="0"/>
        <w:autoSpaceDE w:val="0"/>
        <w:autoSpaceDN w:val="0"/>
        <w:bidi w:val="0"/>
        <w:adjustRightInd w:val="0"/>
        <w:snapToGrid w:val="0"/>
        <w:spacing w:line="360" w:lineRule="exact"/>
        <w:ind w:firstLine="480" w:firstLineChars="200"/>
        <w:jc w:val="left"/>
        <w:textAlignment w:val="auto"/>
        <w:rPr>
          <w:rFonts w:ascii="仿宋_GB2312" w:hAnsi="仿宋_GB2312" w:eastAsia="仿宋_GB2312" w:cs="仿宋_GB2312"/>
          <w:color w:val="000000" w:themeColor="text1"/>
          <w:sz w:val="24"/>
          <w:highlight w:val="none"/>
          <w14:textFill>
            <w14:solidFill>
              <w14:schemeClr w14:val="tx1"/>
            </w14:solidFill>
          </w14:textFill>
        </w:rPr>
      </w:pPr>
      <w:r>
        <w:rPr>
          <w:rFonts w:hint="eastAsia" w:ascii="仿宋_GB2312" w:hAnsi="仿宋_GB2312" w:eastAsia="仿宋_GB2312" w:cs="仿宋_GB2312"/>
          <w:color w:val="000000" w:themeColor="text1"/>
          <w:sz w:val="24"/>
          <w:highlight w:val="none"/>
          <w14:textFill>
            <w14:solidFill>
              <w14:schemeClr w14:val="tx1"/>
            </w14:solidFill>
          </w14:textFill>
        </w:rPr>
        <w:t>4.6 国家法律法规规定及</w:t>
      </w:r>
      <w:r>
        <w:rPr>
          <w:rFonts w:hint="eastAsia" w:ascii="仿宋_GB2312" w:hAnsi="仿宋_GB2312" w:eastAsia="仿宋_GB2312" w:cs="仿宋_GB2312"/>
          <w:b/>
          <w:bCs/>
          <w:sz w:val="24"/>
          <w:highlight w:val="none"/>
        </w:rPr>
        <w:t>【政府采购合同专用条款】</w:t>
      </w:r>
      <w:r>
        <w:rPr>
          <w:rFonts w:hint="eastAsia" w:ascii="仿宋_GB2312" w:hAnsi="仿宋_GB2312" w:eastAsia="仿宋_GB2312" w:cs="仿宋_GB2312"/>
          <w:color w:val="000000" w:themeColor="text1"/>
          <w:sz w:val="24"/>
          <w:highlight w:val="none"/>
          <w14:textFill>
            <w14:solidFill>
              <w14:schemeClr w14:val="tx1"/>
            </w14:solidFill>
          </w14:textFill>
        </w:rPr>
        <w:t>约定应由甲方承担的其他义务和责任。</w:t>
      </w:r>
    </w:p>
    <w:p w14:paraId="29E8000C">
      <w:pPr>
        <w:keepLines w:val="0"/>
        <w:pageBreakBefore w:val="0"/>
        <w:kinsoku/>
        <w:wordWrap/>
        <w:overflowPunct/>
        <w:topLinePunct w:val="0"/>
        <w:autoSpaceDE w:val="0"/>
        <w:autoSpaceDN w:val="0"/>
        <w:bidi w:val="0"/>
        <w:adjustRightInd w:val="0"/>
        <w:snapToGrid w:val="0"/>
        <w:spacing w:line="360" w:lineRule="exact"/>
        <w:jc w:val="left"/>
        <w:textAlignment w:val="auto"/>
        <w:rPr>
          <w:rFonts w:ascii="仿宋_GB2312" w:hAnsi="仿宋_GB2312" w:eastAsia="仿宋_GB2312" w:cs="仿宋_GB2312"/>
          <w:b/>
          <w:bCs/>
          <w:color w:val="000000" w:themeColor="text1"/>
          <w:sz w:val="24"/>
          <w:highlight w:val="none"/>
          <w14:textFill>
            <w14:solidFill>
              <w14:schemeClr w14:val="tx1"/>
            </w14:solidFill>
          </w14:textFill>
        </w:rPr>
      </w:pPr>
      <w:r>
        <w:rPr>
          <w:rFonts w:hint="eastAsia" w:ascii="仿宋_GB2312" w:hAnsi="仿宋_GB2312" w:eastAsia="仿宋_GB2312" w:cs="仿宋_GB2312"/>
          <w:b/>
          <w:bCs/>
          <w:color w:val="000000" w:themeColor="text1"/>
          <w:sz w:val="24"/>
          <w:highlight w:val="none"/>
          <w14:textFill>
            <w14:solidFill>
              <w14:schemeClr w14:val="tx1"/>
            </w14:solidFill>
          </w14:textFill>
        </w:rPr>
        <w:t>5. 乙方的权利和义务</w:t>
      </w:r>
    </w:p>
    <w:p w14:paraId="68E87579">
      <w:pPr>
        <w:keepLines w:val="0"/>
        <w:pageBreakBefore w:val="0"/>
        <w:kinsoku/>
        <w:wordWrap/>
        <w:overflowPunct/>
        <w:topLinePunct w:val="0"/>
        <w:autoSpaceDE w:val="0"/>
        <w:autoSpaceDN w:val="0"/>
        <w:bidi w:val="0"/>
        <w:adjustRightInd w:val="0"/>
        <w:snapToGrid w:val="0"/>
        <w:spacing w:line="360" w:lineRule="exact"/>
        <w:ind w:firstLine="480" w:firstLineChars="200"/>
        <w:jc w:val="left"/>
        <w:textAlignment w:val="auto"/>
        <w:rPr>
          <w:rFonts w:ascii="仿宋_GB2312" w:hAnsi="仿宋_GB2312" w:eastAsia="仿宋_GB2312" w:cs="仿宋_GB2312"/>
          <w:color w:val="000000" w:themeColor="text1"/>
          <w:sz w:val="24"/>
          <w:highlight w:val="none"/>
          <w14:textFill>
            <w14:solidFill>
              <w14:schemeClr w14:val="tx1"/>
            </w14:solidFill>
          </w14:textFill>
        </w:rPr>
      </w:pPr>
      <w:r>
        <w:rPr>
          <w:rFonts w:hint="eastAsia" w:ascii="仿宋_GB2312" w:hAnsi="仿宋_GB2312" w:eastAsia="仿宋_GB2312" w:cs="仿宋_GB2312"/>
          <w:color w:val="000000" w:themeColor="text1"/>
          <w:sz w:val="24"/>
          <w:highlight w:val="none"/>
          <w14:textFill>
            <w14:solidFill>
              <w14:schemeClr w14:val="tx1"/>
            </w14:solidFill>
          </w14:textFill>
        </w:rPr>
        <w:t>5.1 签署合同后，乙方应确定项目负责人（或项目联系人），负责与本合同有关的事务。</w:t>
      </w:r>
    </w:p>
    <w:p w14:paraId="34620C1A">
      <w:pPr>
        <w:keepLines w:val="0"/>
        <w:pageBreakBefore w:val="0"/>
        <w:kinsoku/>
        <w:wordWrap/>
        <w:overflowPunct/>
        <w:topLinePunct w:val="0"/>
        <w:autoSpaceDE w:val="0"/>
        <w:autoSpaceDN w:val="0"/>
        <w:bidi w:val="0"/>
        <w:adjustRightInd w:val="0"/>
        <w:snapToGrid w:val="0"/>
        <w:spacing w:line="360" w:lineRule="exact"/>
        <w:ind w:firstLine="480" w:firstLineChars="200"/>
        <w:jc w:val="left"/>
        <w:textAlignment w:val="auto"/>
        <w:rPr>
          <w:rFonts w:ascii="仿宋_GB2312" w:hAnsi="仿宋_GB2312" w:eastAsia="仿宋_GB2312" w:cs="仿宋_GB2312"/>
          <w:color w:val="000000" w:themeColor="text1"/>
          <w:sz w:val="24"/>
          <w:highlight w:val="none"/>
          <w14:textFill>
            <w14:solidFill>
              <w14:schemeClr w14:val="tx1"/>
            </w14:solidFill>
          </w14:textFill>
        </w:rPr>
      </w:pPr>
      <w:r>
        <w:rPr>
          <w:rFonts w:hint="eastAsia" w:ascii="仿宋_GB2312" w:hAnsi="仿宋_GB2312" w:eastAsia="仿宋_GB2312" w:cs="仿宋_GB2312"/>
          <w:color w:val="000000" w:themeColor="text1"/>
          <w:sz w:val="24"/>
          <w:highlight w:val="none"/>
          <w14:textFill>
            <w14:solidFill>
              <w14:schemeClr w14:val="tx1"/>
            </w14:solidFill>
          </w14:textFill>
        </w:rPr>
        <w:t>5.2 乙方应按照合同要求履约，充分合理安排，确保提供的货物及相关服务符合合同有关要求。接受项目行业管理部门及政府有关部门的指导，配合甲方的履约检查及验收，并负责项目实施过程中的所有协调工作。</w:t>
      </w:r>
    </w:p>
    <w:p w14:paraId="31204EFF">
      <w:pPr>
        <w:pStyle w:val="7"/>
        <w:keepLines w:val="0"/>
        <w:pageBreakBefore w:val="0"/>
        <w:kinsoku/>
        <w:wordWrap/>
        <w:overflowPunct/>
        <w:topLinePunct w:val="0"/>
        <w:bidi w:val="0"/>
        <w:spacing w:line="360" w:lineRule="exact"/>
        <w:ind w:firstLine="369" w:firstLineChars="176"/>
        <w:textAlignment w:val="auto"/>
        <w:rPr>
          <w:rFonts w:ascii="仿宋_GB2312" w:hAnsi="仿宋_GB2312" w:eastAsia="仿宋_GB2312" w:cs="仿宋_GB2312"/>
          <w:color w:val="000000" w:themeColor="text1"/>
          <w:highlight w:val="none"/>
          <w14:textFill>
            <w14:solidFill>
              <w14:schemeClr w14:val="tx1"/>
            </w14:solidFill>
          </w14:textFill>
        </w:rPr>
      </w:pPr>
      <w:r>
        <w:rPr>
          <w:rFonts w:hint="eastAsia" w:ascii="仿宋_GB2312" w:hAnsi="仿宋_GB2312" w:eastAsia="仿宋_GB2312" w:cs="仿宋_GB2312"/>
          <w:color w:val="000000" w:themeColor="text1"/>
          <w:highlight w:val="none"/>
          <w14:textFill>
            <w14:solidFill>
              <w14:schemeClr w14:val="tx1"/>
            </w14:solidFill>
          </w14:textFill>
        </w:rPr>
        <w:t>5.3乙方有权根据合同约定向甲方收取合同价款。</w:t>
      </w:r>
    </w:p>
    <w:p w14:paraId="36D0BF13">
      <w:pPr>
        <w:pStyle w:val="7"/>
        <w:keepLines w:val="0"/>
        <w:pageBreakBefore w:val="0"/>
        <w:kinsoku/>
        <w:wordWrap/>
        <w:overflowPunct/>
        <w:topLinePunct w:val="0"/>
        <w:bidi w:val="0"/>
        <w:spacing w:line="360" w:lineRule="exact"/>
        <w:ind w:firstLine="369" w:firstLineChars="176"/>
        <w:textAlignment w:val="auto"/>
        <w:rPr>
          <w:rFonts w:ascii="仿宋_GB2312" w:hAnsi="仿宋_GB2312" w:eastAsia="仿宋_GB2312" w:cs="仿宋_GB2312"/>
          <w:color w:val="000000" w:themeColor="text1"/>
          <w:highlight w:val="none"/>
          <w14:textFill>
            <w14:solidFill>
              <w14:schemeClr w14:val="tx1"/>
            </w14:solidFill>
          </w14:textFill>
        </w:rPr>
      </w:pPr>
      <w:r>
        <w:rPr>
          <w:rFonts w:hint="eastAsia" w:ascii="仿宋_GB2312" w:hAnsi="仿宋_GB2312" w:eastAsia="仿宋_GB2312" w:cs="仿宋_GB2312"/>
          <w:color w:val="000000" w:themeColor="text1"/>
          <w:highlight w:val="none"/>
          <w14:textFill>
            <w14:solidFill>
              <w14:schemeClr w14:val="tx1"/>
            </w14:solidFill>
          </w14:textFill>
        </w:rPr>
        <w:t>5.4国家法律法</w:t>
      </w:r>
      <w:r>
        <w:rPr>
          <w:rFonts w:hint="eastAsia" w:ascii="仿宋_GB2312" w:hAnsi="仿宋_GB2312" w:eastAsia="仿宋_GB2312" w:cs="仿宋_GB2312"/>
          <w:color w:val="auto"/>
          <w:highlight w:val="none"/>
        </w:rPr>
        <w:t>规规定及</w:t>
      </w:r>
      <w:r>
        <w:rPr>
          <w:rFonts w:hint="eastAsia" w:ascii="仿宋_GB2312" w:hAnsi="仿宋_GB2312" w:eastAsia="仿宋_GB2312" w:cs="仿宋_GB2312"/>
          <w:b/>
          <w:bCs/>
          <w:color w:val="auto"/>
          <w:highlight w:val="none"/>
        </w:rPr>
        <w:t>【政府采购合同专用条款】</w:t>
      </w:r>
      <w:r>
        <w:rPr>
          <w:rFonts w:hint="eastAsia" w:ascii="仿宋_GB2312" w:hAnsi="仿宋_GB2312" w:eastAsia="仿宋_GB2312" w:cs="仿宋_GB2312"/>
          <w:color w:val="auto"/>
          <w:highlight w:val="none"/>
        </w:rPr>
        <w:t>约定应由乙</w:t>
      </w:r>
      <w:r>
        <w:rPr>
          <w:rFonts w:hint="eastAsia" w:ascii="仿宋_GB2312" w:hAnsi="仿宋_GB2312" w:eastAsia="仿宋_GB2312" w:cs="仿宋_GB2312"/>
          <w:color w:val="000000" w:themeColor="text1"/>
          <w:highlight w:val="none"/>
          <w14:textFill>
            <w14:solidFill>
              <w14:schemeClr w14:val="tx1"/>
            </w14:solidFill>
          </w14:textFill>
        </w:rPr>
        <w:t>方承担的其他义务和责任。</w:t>
      </w:r>
    </w:p>
    <w:p w14:paraId="70AD707D">
      <w:pPr>
        <w:keepLines w:val="0"/>
        <w:pageBreakBefore w:val="0"/>
        <w:numPr>
          <w:ilvl w:val="0"/>
          <w:numId w:val="6"/>
        </w:numPr>
        <w:kinsoku/>
        <w:wordWrap/>
        <w:overflowPunct/>
        <w:topLinePunct w:val="0"/>
        <w:autoSpaceDE w:val="0"/>
        <w:autoSpaceDN w:val="0"/>
        <w:bidi w:val="0"/>
        <w:adjustRightInd w:val="0"/>
        <w:snapToGrid w:val="0"/>
        <w:spacing w:line="360" w:lineRule="exact"/>
        <w:jc w:val="left"/>
        <w:textAlignment w:val="auto"/>
        <w:rPr>
          <w:rFonts w:ascii="仿宋_GB2312" w:hAnsi="仿宋_GB2312" w:eastAsia="仿宋_GB2312" w:cs="仿宋_GB2312"/>
          <w:b/>
          <w:bCs/>
          <w:color w:val="000000" w:themeColor="text1"/>
          <w:sz w:val="24"/>
          <w:highlight w:val="none"/>
          <w14:textFill>
            <w14:solidFill>
              <w14:schemeClr w14:val="tx1"/>
            </w14:solidFill>
          </w14:textFill>
        </w:rPr>
      </w:pPr>
      <w:r>
        <w:rPr>
          <w:rFonts w:hint="eastAsia" w:ascii="仿宋_GB2312" w:hAnsi="仿宋_GB2312" w:eastAsia="仿宋_GB2312" w:cs="仿宋_GB2312"/>
          <w:b/>
          <w:bCs/>
          <w:color w:val="000000" w:themeColor="text1"/>
          <w:sz w:val="24"/>
          <w:highlight w:val="none"/>
          <w14:textFill>
            <w14:solidFill>
              <w14:schemeClr w14:val="tx1"/>
            </w14:solidFill>
          </w14:textFill>
        </w:rPr>
        <w:t>合同履行</w:t>
      </w:r>
    </w:p>
    <w:p w14:paraId="762F1CBC">
      <w:pPr>
        <w:keepLines w:val="0"/>
        <w:pageBreakBefore w:val="0"/>
        <w:kinsoku/>
        <w:wordWrap/>
        <w:overflowPunct/>
        <w:topLinePunct w:val="0"/>
        <w:autoSpaceDE w:val="0"/>
        <w:autoSpaceDN w:val="0"/>
        <w:bidi w:val="0"/>
        <w:adjustRightInd w:val="0"/>
        <w:snapToGrid w:val="0"/>
        <w:spacing w:line="360" w:lineRule="exact"/>
        <w:ind w:firstLine="480" w:firstLineChars="200"/>
        <w:jc w:val="left"/>
        <w:textAlignment w:val="auto"/>
        <w:rPr>
          <w:rFonts w:ascii="仿宋_GB2312" w:hAnsi="仿宋_GB2312" w:eastAsia="仿宋_GB2312" w:cs="仿宋_GB2312"/>
          <w:color w:val="000000" w:themeColor="text1"/>
          <w:sz w:val="24"/>
          <w:highlight w:val="none"/>
          <w14:textFill>
            <w14:solidFill>
              <w14:schemeClr w14:val="tx1"/>
            </w14:solidFill>
          </w14:textFill>
        </w:rPr>
      </w:pPr>
      <w:r>
        <w:rPr>
          <w:rFonts w:hint="eastAsia" w:ascii="仿宋_GB2312" w:hAnsi="仿宋_GB2312" w:eastAsia="仿宋_GB2312" w:cs="仿宋_GB2312"/>
          <w:color w:val="000000" w:themeColor="text1"/>
          <w:sz w:val="24"/>
          <w:highlight w:val="none"/>
          <w14:textFill>
            <w14:solidFill>
              <w14:schemeClr w14:val="tx1"/>
            </w14:solidFill>
          </w14:textFill>
        </w:rPr>
        <w:t>6.1 甲乙双方应当按照</w:t>
      </w:r>
      <w:r>
        <w:rPr>
          <w:rFonts w:hint="eastAsia" w:ascii="仿宋_GB2312" w:hAnsi="仿宋_GB2312" w:eastAsia="仿宋_GB2312" w:cs="仿宋_GB2312"/>
          <w:b/>
          <w:bCs/>
          <w:sz w:val="24"/>
          <w:highlight w:val="none"/>
        </w:rPr>
        <w:t>【政府采购合同专用条款】</w:t>
      </w:r>
      <w:r>
        <w:rPr>
          <w:rFonts w:hint="eastAsia" w:ascii="仿宋_GB2312" w:hAnsi="仿宋_GB2312" w:eastAsia="仿宋_GB2312" w:cs="仿宋_GB2312"/>
          <w:color w:val="000000" w:themeColor="text1"/>
          <w:sz w:val="24"/>
          <w:highlight w:val="none"/>
          <w14:textFill>
            <w14:solidFill>
              <w14:schemeClr w14:val="tx1"/>
            </w14:solidFill>
          </w14:textFill>
        </w:rPr>
        <w:t>约定顺序履行合同义务；如果没有先后顺序的，应当同时履行。</w:t>
      </w:r>
    </w:p>
    <w:p w14:paraId="5AE31286">
      <w:pPr>
        <w:keepLines w:val="0"/>
        <w:pageBreakBefore w:val="0"/>
        <w:kinsoku/>
        <w:wordWrap/>
        <w:overflowPunct/>
        <w:topLinePunct w:val="0"/>
        <w:autoSpaceDE w:val="0"/>
        <w:autoSpaceDN w:val="0"/>
        <w:bidi w:val="0"/>
        <w:adjustRightInd w:val="0"/>
        <w:snapToGrid w:val="0"/>
        <w:spacing w:line="360" w:lineRule="exact"/>
        <w:ind w:firstLine="480" w:firstLineChars="200"/>
        <w:jc w:val="left"/>
        <w:textAlignment w:val="auto"/>
        <w:rPr>
          <w:rFonts w:ascii="仿宋_GB2312" w:hAnsi="仿宋_GB2312" w:eastAsia="仿宋_GB2312" w:cs="仿宋_GB2312"/>
          <w:sz w:val="24"/>
          <w:highlight w:val="none"/>
        </w:rPr>
      </w:pPr>
      <w:r>
        <w:rPr>
          <w:rFonts w:hint="eastAsia" w:ascii="仿宋_GB2312" w:hAnsi="仿宋_GB2312" w:eastAsia="仿宋_GB2312" w:cs="仿宋_GB2312"/>
          <w:color w:val="000000" w:themeColor="text1"/>
          <w:sz w:val="24"/>
          <w:highlight w:val="none"/>
          <w14:textFill>
            <w14:solidFill>
              <w14:schemeClr w14:val="tx1"/>
            </w14:solidFill>
          </w14:textFill>
        </w:rPr>
        <w:t>6.2 甲乙双方按照合同约定顺序履行合同义务时，应当先履行一方未履行的，后履行一方有权拒绝其履行请求。先履行一方履行不符合约定的，后履行一方有权拒绝其相应的履行请求。</w:t>
      </w:r>
    </w:p>
    <w:p w14:paraId="7C53E64F">
      <w:pPr>
        <w:keepLines w:val="0"/>
        <w:pageBreakBefore w:val="0"/>
        <w:kinsoku/>
        <w:wordWrap/>
        <w:overflowPunct/>
        <w:topLinePunct w:val="0"/>
        <w:bidi w:val="0"/>
        <w:adjustRightInd w:val="0"/>
        <w:snapToGrid w:val="0"/>
        <w:spacing w:line="360" w:lineRule="exact"/>
        <w:jc w:val="left"/>
        <w:textAlignment w:val="auto"/>
        <w:rPr>
          <w:rFonts w:ascii="仿宋_GB2312" w:hAnsi="仿宋_GB2312" w:eastAsia="仿宋_GB2312" w:cs="仿宋_GB2312"/>
          <w:b/>
          <w:bCs/>
          <w:color w:val="000000" w:themeColor="text1"/>
          <w:sz w:val="24"/>
          <w:highlight w:val="none"/>
          <w14:textFill>
            <w14:solidFill>
              <w14:schemeClr w14:val="tx1"/>
            </w14:solidFill>
          </w14:textFill>
        </w:rPr>
      </w:pPr>
      <w:r>
        <w:rPr>
          <w:rFonts w:hint="eastAsia" w:ascii="仿宋_GB2312" w:hAnsi="仿宋_GB2312" w:eastAsia="仿宋_GB2312" w:cs="仿宋_GB2312"/>
          <w:b/>
          <w:bCs/>
          <w:color w:val="000000" w:themeColor="text1"/>
          <w:sz w:val="24"/>
          <w:highlight w:val="none"/>
          <w14:textFill>
            <w14:solidFill>
              <w14:schemeClr w14:val="tx1"/>
            </w14:solidFill>
          </w14:textFill>
        </w:rPr>
        <w:t>7. 货物包装、运输、保险和交付要求</w:t>
      </w:r>
    </w:p>
    <w:p w14:paraId="52B65211">
      <w:pPr>
        <w:keepLines w:val="0"/>
        <w:pageBreakBefore w:val="0"/>
        <w:kinsoku/>
        <w:wordWrap/>
        <w:overflowPunct/>
        <w:topLinePunct w:val="0"/>
        <w:autoSpaceDE w:val="0"/>
        <w:autoSpaceDN w:val="0"/>
        <w:bidi w:val="0"/>
        <w:adjustRightInd w:val="0"/>
        <w:snapToGrid w:val="0"/>
        <w:spacing w:line="360" w:lineRule="exact"/>
        <w:ind w:firstLine="480" w:firstLineChars="200"/>
        <w:jc w:val="left"/>
        <w:textAlignment w:val="auto"/>
        <w:rPr>
          <w:rFonts w:ascii="仿宋_GB2312" w:hAnsi="仿宋_GB2312" w:eastAsia="仿宋_GB2312" w:cs="仿宋_GB2312"/>
          <w:color w:val="000000" w:themeColor="text1"/>
          <w:sz w:val="24"/>
          <w:highlight w:val="none"/>
          <w14:textFill>
            <w14:solidFill>
              <w14:schemeClr w14:val="tx1"/>
            </w14:solidFill>
          </w14:textFill>
        </w:rPr>
      </w:pPr>
      <w:r>
        <w:rPr>
          <w:rFonts w:hint="eastAsia" w:ascii="仿宋_GB2312" w:hAnsi="仿宋_GB2312" w:eastAsia="仿宋_GB2312" w:cs="仿宋_GB2312"/>
          <w:color w:val="000000" w:themeColor="text1"/>
          <w:sz w:val="24"/>
          <w:highlight w:val="none"/>
          <w14:textFill>
            <w14:solidFill>
              <w14:schemeClr w14:val="tx1"/>
            </w14:solidFill>
          </w14:textFill>
        </w:rPr>
        <w:t>7.1 本合同</w:t>
      </w:r>
      <w:r>
        <w:rPr>
          <w:rFonts w:hint="eastAsia" w:ascii="仿宋_GB2312" w:hAnsi="仿宋_GB2312" w:eastAsia="仿宋_GB2312" w:cs="仿宋_GB2312"/>
          <w:bCs/>
          <w:color w:val="000000" w:themeColor="text1"/>
          <w:sz w:val="24"/>
          <w:highlight w:val="none"/>
          <w14:textFill>
            <w14:solidFill>
              <w14:schemeClr w14:val="tx1"/>
            </w14:solidFill>
          </w14:textFill>
        </w:rPr>
        <w:t>涉及商品包装、快递包装的，</w:t>
      </w:r>
      <w:r>
        <w:rPr>
          <w:rFonts w:hint="eastAsia" w:ascii="仿宋_GB2312" w:hAnsi="仿宋_GB2312" w:eastAsia="仿宋_GB2312" w:cs="仿宋_GB2312"/>
          <w:color w:val="000000" w:themeColor="text1"/>
          <w:sz w:val="24"/>
          <w:highlight w:val="none"/>
          <w14:textFill>
            <w14:solidFill>
              <w14:schemeClr w14:val="tx1"/>
            </w14:solidFill>
          </w14:textFill>
        </w:rPr>
        <w:t>除</w:t>
      </w:r>
      <w:r>
        <w:rPr>
          <w:rFonts w:hint="eastAsia" w:ascii="仿宋_GB2312" w:hAnsi="仿宋_GB2312" w:eastAsia="仿宋_GB2312" w:cs="仿宋_GB2312"/>
          <w:b/>
          <w:color w:val="000000" w:themeColor="text1"/>
          <w:sz w:val="24"/>
          <w:highlight w:val="none"/>
          <w14:textFill>
            <w14:solidFill>
              <w14:schemeClr w14:val="tx1"/>
            </w14:solidFill>
          </w14:textFill>
        </w:rPr>
        <w:t>【政府采购合同专用条款】</w:t>
      </w:r>
      <w:r>
        <w:rPr>
          <w:rFonts w:hint="eastAsia" w:ascii="仿宋_GB2312" w:hAnsi="仿宋_GB2312" w:eastAsia="仿宋_GB2312" w:cs="仿宋_GB2312"/>
          <w:bCs/>
          <w:color w:val="000000" w:themeColor="text1"/>
          <w:sz w:val="24"/>
          <w:highlight w:val="none"/>
          <w14:textFill>
            <w14:solidFill>
              <w14:schemeClr w14:val="tx1"/>
            </w14:solidFill>
          </w14:textFill>
        </w:rPr>
        <w:t>另有约定外，</w:t>
      </w:r>
      <w:r>
        <w:rPr>
          <w:rFonts w:hint="eastAsia" w:ascii="仿宋_GB2312" w:hAnsi="仿宋_GB2312" w:eastAsia="仿宋_GB2312" w:cs="仿宋_GB2312"/>
          <w:color w:val="000000" w:themeColor="text1"/>
          <w:sz w:val="24"/>
          <w:highlight w:val="none"/>
          <w14:textFill>
            <w14:solidFill>
              <w14:schemeClr w14:val="tx1"/>
            </w14:solidFill>
          </w14:textFill>
        </w:rPr>
        <w:t>包装应适应远距离运输、防潮、防震、防锈和防野蛮装卸等要求，确保货物安全无损地运抵</w:t>
      </w:r>
      <w:r>
        <w:rPr>
          <w:rFonts w:hint="eastAsia" w:ascii="仿宋_GB2312" w:hAnsi="仿宋_GB2312" w:eastAsia="仿宋_GB2312" w:cs="仿宋_GB2312"/>
          <w:b/>
          <w:color w:val="000000" w:themeColor="text1"/>
          <w:sz w:val="24"/>
          <w:highlight w:val="none"/>
          <w14:textFill>
            <w14:solidFill>
              <w14:schemeClr w14:val="tx1"/>
            </w14:solidFill>
          </w14:textFill>
        </w:rPr>
        <w:t>【政府采购合同专用条款】</w:t>
      </w:r>
      <w:r>
        <w:rPr>
          <w:rFonts w:hint="eastAsia" w:ascii="仿宋_GB2312" w:hAnsi="仿宋_GB2312" w:eastAsia="仿宋_GB2312" w:cs="仿宋_GB2312"/>
          <w:bCs/>
          <w:color w:val="000000" w:themeColor="text1"/>
          <w:sz w:val="24"/>
          <w:highlight w:val="none"/>
          <w14:textFill>
            <w14:solidFill>
              <w14:schemeClr w14:val="tx1"/>
            </w14:solidFill>
          </w14:textFill>
        </w:rPr>
        <w:t>约定的</w:t>
      </w:r>
      <w:r>
        <w:rPr>
          <w:rFonts w:hint="eastAsia" w:ascii="仿宋_GB2312" w:hAnsi="仿宋_GB2312" w:eastAsia="仿宋_GB2312" w:cs="仿宋_GB2312"/>
          <w:color w:val="000000" w:themeColor="text1"/>
          <w:sz w:val="24"/>
          <w:highlight w:val="none"/>
          <w14:textFill>
            <w14:solidFill>
              <w14:schemeClr w14:val="tx1"/>
            </w14:solidFill>
          </w14:textFill>
        </w:rPr>
        <w:t>指定现场。</w:t>
      </w:r>
    </w:p>
    <w:p w14:paraId="4E676BC8">
      <w:pPr>
        <w:keepLines w:val="0"/>
        <w:pageBreakBefore w:val="0"/>
        <w:kinsoku/>
        <w:wordWrap/>
        <w:overflowPunct/>
        <w:topLinePunct w:val="0"/>
        <w:bidi w:val="0"/>
        <w:adjustRightInd w:val="0"/>
        <w:snapToGrid w:val="0"/>
        <w:spacing w:line="360" w:lineRule="exact"/>
        <w:ind w:firstLine="480" w:firstLineChars="200"/>
        <w:jc w:val="left"/>
        <w:textAlignment w:val="auto"/>
        <w:rPr>
          <w:rFonts w:ascii="仿宋_GB2312" w:hAnsi="仿宋_GB2312" w:eastAsia="仿宋_GB2312" w:cs="仿宋_GB2312"/>
          <w:color w:val="000000" w:themeColor="text1"/>
          <w:sz w:val="24"/>
          <w:highlight w:val="none"/>
          <w14:textFill>
            <w14:solidFill>
              <w14:schemeClr w14:val="tx1"/>
            </w14:solidFill>
          </w14:textFill>
        </w:rPr>
      </w:pPr>
      <w:r>
        <w:rPr>
          <w:rFonts w:hint="eastAsia" w:ascii="仿宋_GB2312" w:hAnsi="仿宋_GB2312" w:eastAsia="仿宋_GB2312" w:cs="仿宋_GB2312"/>
          <w:color w:val="000000" w:themeColor="text1"/>
          <w:sz w:val="24"/>
          <w:highlight w:val="none"/>
          <w14:textFill>
            <w14:solidFill>
              <w14:schemeClr w14:val="tx1"/>
            </w14:solidFill>
          </w14:textFill>
        </w:rPr>
        <w:t>7.2 除</w:t>
      </w:r>
      <w:r>
        <w:rPr>
          <w:rFonts w:hint="eastAsia" w:ascii="仿宋_GB2312" w:hAnsi="仿宋_GB2312" w:eastAsia="仿宋_GB2312" w:cs="仿宋_GB2312"/>
          <w:b/>
          <w:color w:val="000000" w:themeColor="text1"/>
          <w:sz w:val="24"/>
          <w:highlight w:val="none"/>
          <w14:textFill>
            <w14:solidFill>
              <w14:schemeClr w14:val="tx1"/>
            </w14:solidFill>
          </w14:textFill>
        </w:rPr>
        <w:t>【政府采购合同专用条款】</w:t>
      </w:r>
      <w:r>
        <w:rPr>
          <w:rFonts w:hint="eastAsia" w:ascii="仿宋_GB2312" w:hAnsi="仿宋_GB2312" w:eastAsia="仿宋_GB2312" w:cs="仿宋_GB2312"/>
          <w:bCs/>
          <w:color w:val="000000" w:themeColor="text1"/>
          <w:sz w:val="24"/>
          <w:highlight w:val="none"/>
          <w14:textFill>
            <w14:solidFill>
              <w14:schemeClr w14:val="tx1"/>
            </w14:solidFill>
          </w14:textFill>
        </w:rPr>
        <w:t>另有约定外，</w:t>
      </w:r>
      <w:r>
        <w:rPr>
          <w:rFonts w:hint="eastAsia" w:ascii="仿宋_GB2312" w:hAnsi="仿宋_GB2312" w:eastAsia="仿宋_GB2312" w:cs="仿宋_GB2312"/>
          <w:color w:val="000000" w:themeColor="text1"/>
          <w:sz w:val="24"/>
          <w:highlight w:val="none"/>
          <w14:textFill>
            <w14:solidFill>
              <w14:schemeClr w14:val="tx1"/>
            </w14:solidFill>
          </w14:textFill>
        </w:rPr>
        <w:t>乙方负责办理将货物运抵本合同规定的交货地点，并装卸、交付至甲方的一切运输事项，相关费用应包含在合同价款中。</w:t>
      </w:r>
    </w:p>
    <w:p w14:paraId="634B207D">
      <w:pPr>
        <w:keepLines w:val="0"/>
        <w:pageBreakBefore w:val="0"/>
        <w:kinsoku/>
        <w:wordWrap/>
        <w:overflowPunct/>
        <w:topLinePunct w:val="0"/>
        <w:bidi w:val="0"/>
        <w:adjustRightInd w:val="0"/>
        <w:snapToGrid w:val="0"/>
        <w:spacing w:line="360" w:lineRule="exact"/>
        <w:ind w:firstLine="480" w:firstLineChars="200"/>
        <w:jc w:val="left"/>
        <w:textAlignment w:val="auto"/>
        <w:rPr>
          <w:rFonts w:ascii="仿宋_GB2312" w:hAnsi="仿宋_GB2312" w:eastAsia="仿宋_GB2312" w:cs="仿宋_GB2312"/>
          <w:color w:val="000000" w:themeColor="text1"/>
          <w:sz w:val="24"/>
          <w:highlight w:val="none"/>
          <w14:textFill>
            <w14:solidFill>
              <w14:schemeClr w14:val="tx1"/>
            </w14:solidFill>
          </w14:textFill>
        </w:rPr>
      </w:pPr>
      <w:r>
        <w:rPr>
          <w:rFonts w:hint="eastAsia" w:ascii="仿宋_GB2312" w:hAnsi="仿宋_GB2312" w:eastAsia="仿宋_GB2312" w:cs="仿宋_GB2312"/>
          <w:color w:val="000000" w:themeColor="text1"/>
          <w:sz w:val="24"/>
          <w:highlight w:val="none"/>
          <w14:textFill>
            <w14:solidFill>
              <w14:schemeClr w14:val="tx1"/>
            </w14:solidFill>
          </w14:textFill>
        </w:rPr>
        <w:t>7.3 货物保险要求按</w:t>
      </w:r>
      <w:r>
        <w:rPr>
          <w:rFonts w:hint="eastAsia" w:ascii="仿宋_GB2312" w:hAnsi="仿宋_GB2312" w:eastAsia="仿宋_GB2312" w:cs="仿宋_GB2312"/>
          <w:b/>
          <w:color w:val="000000" w:themeColor="text1"/>
          <w:sz w:val="24"/>
          <w:highlight w:val="none"/>
          <w14:textFill>
            <w14:solidFill>
              <w14:schemeClr w14:val="tx1"/>
            </w14:solidFill>
          </w14:textFill>
        </w:rPr>
        <w:t>【政府采购合同专用条款】</w:t>
      </w:r>
      <w:r>
        <w:rPr>
          <w:rFonts w:hint="eastAsia" w:ascii="仿宋_GB2312" w:hAnsi="仿宋_GB2312" w:eastAsia="仿宋_GB2312" w:cs="仿宋_GB2312"/>
          <w:bCs/>
          <w:color w:val="000000" w:themeColor="text1"/>
          <w:sz w:val="24"/>
          <w:highlight w:val="none"/>
          <w14:textFill>
            <w14:solidFill>
              <w14:schemeClr w14:val="tx1"/>
            </w14:solidFill>
          </w14:textFill>
        </w:rPr>
        <w:t>规定执行</w:t>
      </w:r>
      <w:r>
        <w:rPr>
          <w:rFonts w:hint="eastAsia" w:ascii="仿宋_GB2312" w:hAnsi="仿宋_GB2312" w:eastAsia="仿宋_GB2312" w:cs="仿宋_GB2312"/>
          <w:color w:val="000000" w:themeColor="text1"/>
          <w:sz w:val="24"/>
          <w:highlight w:val="none"/>
          <w14:textFill>
            <w14:solidFill>
              <w14:schemeClr w14:val="tx1"/>
            </w14:solidFill>
          </w14:textFill>
        </w:rPr>
        <w:t>。</w:t>
      </w:r>
    </w:p>
    <w:p w14:paraId="0FF59ABB">
      <w:pPr>
        <w:keepLines w:val="0"/>
        <w:pageBreakBefore w:val="0"/>
        <w:kinsoku/>
        <w:wordWrap/>
        <w:overflowPunct/>
        <w:topLinePunct w:val="0"/>
        <w:autoSpaceDE w:val="0"/>
        <w:autoSpaceDN w:val="0"/>
        <w:bidi w:val="0"/>
        <w:adjustRightInd w:val="0"/>
        <w:snapToGrid w:val="0"/>
        <w:spacing w:line="360" w:lineRule="exact"/>
        <w:ind w:firstLine="480" w:firstLineChars="200"/>
        <w:jc w:val="left"/>
        <w:textAlignment w:val="auto"/>
        <w:rPr>
          <w:rFonts w:ascii="仿宋_GB2312" w:hAnsi="仿宋_GB2312" w:eastAsia="仿宋_GB2312" w:cs="仿宋_GB2312"/>
          <w:color w:val="000000" w:themeColor="text1"/>
          <w:sz w:val="24"/>
          <w:highlight w:val="none"/>
          <w14:textFill>
            <w14:solidFill>
              <w14:schemeClr w14:val="tx1"/>
            </w14:solidFill>
          </w14:textFill>
        </w:rPr>
      </w:pPr>
      <w:r>
        <w:rPr>
          <w:rFonts w:hint="eastAsia" w:ascii="仿宋_GB2312" w:hAnsi="仿宋_GB2312" w:eastAsia="仿宋_GB2312" w:cs="仿宋_GB2312"/>
          <w:color w:val="000000" w:themeColor="text1"/>
          <w:sz w:val="24"/>
          <w:highlight w:val="none"/>
          <w14:textFill>
            <w14:solidFill>
              <w14:schemeClr w14:val="tx1"/>
            </w14:solidFill>
          </w14:textFill>
        </w:rPr>
        <w:t>7.4 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14:paraId="4F1B8D1C">
      <w:pPr>
        <w:keepLines w:val="0"/>
        <w:pageBreakBefore w:val="0"/>
        <w:kinsoku/>
        <w:wordWrap/>
        <w:overflowPunct/>
        <w:topLinePunct w:val="0"/>
        <w:autoSpaceDE w:val="0"/>
        <w:autoSpaceDN w:val="0"/>
        <w:bidi w:val="0"/>
        <w:adjustRightInd w:val="0"/>
        <w:snapToGrid w:val="0"/>
        <w:spacing w:line="360" w:lineRule="exact"/>
        <w:ind w:firstLine="480" w:firstLineChars="200"/>
        <w:jc w:val="left"/>
        <w:textAlignment w:val="auto"/>
        <w:rPr>
          <w:rFonts w:ascii="仿宋_GB2312" w:hAnsi="仿宋_GB2312" w:eastAsia="仿宋_GB2312" w:cs="仿宋_GB2312"/>
          <w:color w:val="000000" w:themeColor="text1"/>
          <w:sz w:val="24"/>
          <w:highlight w:val="none"/>
          <w14:textFill>
            <w14:solidFill>
              <w14:schemeClr w14:val="tx1"/>
            </w14:solidFill>
          </w14:textFill>
        </w:rPr>
      </w:pPr>
      <w:r>
        <w:rPr>
          <w:rFonts w:hint="eastAsia" w:ascii="仿宋_GB2312" w:hAnsi="仿宋_GB2312" w:eastAsia="仿宋_GB2312" w:cs="仿宋_GB2312"/>
          <w:color w:val="000000" w:themeColor="text1"/>
          <w:sz w:val="24"/>
          <w:highlight w:val="none"/>
          <w14:textFill>
            <w14:solidFill>
              <w14:schemeClr w14:val="tx1"/>
            </w14:solidFill>
          </w14:textFill>
        </w:rPr>
        <w:t xml:space="preserve">7.5 </w:t>
      </w:r>
      <w:r>
        <w:rPr>
          <w:rFonts w:hint="eastAsia" w:ascii="仿宋_GB2312" w:hAnsi="仿宋_GB2312" w:eastAsia="仿宋_GB2312" w:cs="仿宋_GB2312"/>
          <w:color w:val="000000"/>
          <w:sz w:val="24"/>
          <w:highlight w:val="none"/>
        </w:rPr>
        <w:t>乙方在运输到达之前应提前通知甲方，并提示货物运输装卸的注意事项，甲方配合乙方做好货物的接收工作。</w:t>
      </w:r>
    </w:p>
    <w:p w14:paraId="1BC8095D">
      <w:pPr>
        <w:pStyle w:val="21"/>
        <w:keepLines w:val="0"/>
        <w:pageBreakBefore w:val="0"/>
        <w:kinsoku/>
        <w:wordWrap/>
        <w:overflowPunct/>
        <w:topLinePunct w:val="0"/>
        <w:bidi w:val="0"/>
        <w:spacing w:line="360" w:lineRule="exact"/>
        <w:ind w:firstLine="480"/>
        <w:textAlignment w:val="auto"/>
        <w:rPr>
          <w:rFonts w:ascii="仿宋_GB2312" w:hAnsi="仿宋_GB2312" w:eastAsia="仿宋_GB2312" w:cs="仿宋_GB2312"/>
          <w:sz w:val="24"/>
          <w:szCs w:val="24"/>
          <w:highlight w:val="none"/>
        </w:rPr>
      </w:pPr>
      <w:r>
        <w:rPr>
          <w:rFonts w:hint="eastAsia" w:ascii="仿宋_GB2312" w:hAnsi="仿宋_GB2312" w:eastAsia="仿宋_GB2312" w:cs="仿宋_GB2312"/>
          <w:color w:val="000000" w:themeColor="text1"/>
          <w:kern w:val="2"/>
          <w:sz w:val="24"/>
          <w:szCs w:val="24"/>
          <w:highlight w:val="none"/>
          <w14:textFill>
            <w14:solidFill>
              <w14:schemeClr w14:val="tx1"/>
            </w14:solidFill>
          </w14:textFill>
        </w:rPr>
        <w:t xml:space="preserve">7.6 </w:t>
      </w:r>
      <w:r>
        <w:rPr>
          <w:rFonts w:hint="eastAsia" w:ascii="仿宋_GB2312" w:hAnsi="仿宋_GB2312" w:eastAsia="仿宋_GB2312" w:cs="仿宋_GB2312"/>
          <w:color w:val="000000"/>
          <w:kern w:val="2"/>
          <w:sz w:val="24"/>
          <w:szCs w:val="24"/>
          <w:highlight w:val="none"/>
        </w:rPr>
        <w:t>如因包装、运输问题导致货物</w:t>
      </w:r>
      <w:r>
        <w:rPr>
          <w:rFonts w:hint="eastAsia" w:ascii="仿宋_GB2312" w:hAnsi="仿宋_GB2312" w:eastAsia="仿宋_GB2312" w:cs="仿宋_GB2312"/>
          <w:color w:val="000000" w:themeColor="text1"/>
          <w:kern w:val="2"/>
          <w:sz w:val="24"/>
          <w:szCs w:val="24"/>
          <w:highlight w:val="none"/>
          <w14:textFill>
            <w14:solidFill>
              <w14:schemeClr w14:val="tx1"/>
            </w14:solidFill>
          </w14:textFill>
        </w:rPr>
        <w:t>损毁、丢失</w:t>
      </w:r>
      <w:r>
        <w:rPr>
          <w:rFonts w:hint="eastAsia" w:ascii="仿宋_GB2312" w:hAnsi="仿宋_GB2312" w:eastAsia="仿宋_GB2312" w:cs="仿宋_GB2312"/>
          <w:color w:val="000000"/>
          <w:kern w:val="2"/>
          <w:sz w:val="24"/>
          <w:szCs w:val="24"/>
          <w:highlight w:val="none"/>
        </w:rPr>
        <w:t>或者品质下降，甲方有权要求降价、换货、拒收部分或整批货物，由此产生的费用和损失，均由乙方承担。</w:t>
      </w:r>
    </w:p>
    <w:p w14:paraId="36EE17C9">
      <w:pPr>
        <w:keepLines w:val="0"/>
        <w:pageBreakBefore w:val="0"/>
        <w:kinsoku/>
        <w:wordWrap/>
        <w:overflowPunct/>
        <w:topLinePunct w:val="0"/>
        <w:bidi w:val="0"/>
        <w:adjustRightInd w:val="0"/>
        <w:snapToGrid w:val="0"/>
        <w:spacing w:line="360" w:lineRule="exact"/>
        <w:jc w:val="left"/>
        <w:textAlignment w:val="auto"/>
        <w:rPr>
          <w:rFonts w:ascii="仿宋_GB2312" w:hAnsi="仿宋_GB2312" w:eastAsia="仿宋_GB2312" w:cs="仿宋_GB2312"/>
          <w:b/>
          <w:sz w:val="24"/>
          <w:highlight w:val="none"/>
        </w:rPr>
      </w:pPr>
      <w:r>
        <w:rPr>
          <w:rFonts w:hint="eastAsia" w:ascii="仿宋_GB2312" w:hAnsi="仿宋_GB2312" w:eastAsia="仿宋_GB2312" w:cs="仿宋_GB2312"/>
          <w:b/>
          <w:color w:val="000000" w:themeColor="text1"/>
          <w:sz w:val="24"/>
          <w:highlight w:val="none"/>
          <w14:textFill>
            <w14:solidFill>
              <w14:schemeClr w14:val="tx1"/>
            </w14:solidFill>
          </w14:textFill>
        </w:rPr>
        <w:t xml:space="preserve">8. </w:t>
      </w:r>
      <w:r>
        <w:rPr>
          <w:rFonts w:hint="eastAsia" w:ascii="仿宋_GB2312" w:hAnsi="仿宋_GB2312" w:eastAsia="仿宋_GB2312" w:cs="仿宋_GB2312"/>
          <w:b/>
          <w:sz w:val="24"/>
          <w:highlight w:val="none"/>
        </w:rPr>
        <w:t>质量标准和保证</w:t>
      </w:r>
    </w:p>
    <w:p w14:paraId="14915E0F">
      <w:pPr>
        <w:pStyle w:val="9"/>
        <w:keepLines w:val="0"/>
        <w:pageBreakBefore w:val="0"/>
        <w:kinsoku/>
        <w:wordWrap/>
        <w:overflowPunct/>
        <w:topLinePunct w:val="0"/>
        <w:bidi w:val="0"/>
        <w:adjustRightInd w:val="0"/>
        <w:snapToGrid w:val="0"/>
        <w:spacing w:line="360" w:lineRule="exact"/>
        <w:ind w:firstLine="480" w:firstLineChars="200"/>
        <w:jc w:val="left"/>
        <w:textAlignment w:val="auto"/>
        <w:rPr>
          <w:rFonts w:ascii="仿宋_GB2312" w:hAnsi="仿宋_GB2312" w:eastAsia="仿宋_GB2312" w:cs="仿宋_GB2312"/>
          <w:b/>
          <w:sz w:val="24"/>
          <w:szCs w:val="24"/>
          <w:highlight w:val="none"/>
        </w:rPr>
      </w:pPr>
      <w:r>
        <w:rPr>
          <w:rFonts w:hint="eastAsia" w:ascii="仿宋_GB2312" w:hAnsi="仿宋_GB2312" w:eastAsia="仿宋_GB2312" w:cs="仿宋_GB2312"/>
          <w:sz w:val="24"/>
          <w:szCs w:val="24"/>
          <w:highlight w:val="none"/>
        </w:rPr>
        <w:t>8.1 质量标准</w:t>
      </w:r>
    </w:p>
    <w:p w14:paraId="6065BFA2">
      <w:pPr>
        <w:keepLines w:val="0"/>
        <w:pageBreakBefore w:val="0"/>
        <w:kinsoku/>
        <w:wordWrap/>
        <w:overflowPunct/>
        <w:topLinePunct w:val="0"/>
        <w:autoSpaceDE w:val="0"/>
        <w:autoSpaceDN w:val="0"/>
        <w:bidi w:val="0"/>
        <w:adjustRightInd w:val="0"/>
        <w:snapToGrid w:val="0"/>
        <w:spacing w:line="360" w:lineRule="exact"/>
        <w:ind w:firstLine="480" w:firstLineChars="200"/>
        <w:jc w:val="left"/>
        <w:textAlignment w:val="auto"/>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（1）本合同下提供的货物应符合合同</w:t>
      </w:r>
      <w:r>
        <w:rPr>
          <w:rFonts w:hint="eastAsia" w:ascii="仿宋_GB2312" w:hAnsi="仿宋_GB2312" w:eastAsia="仿宋_GB2312" w:cs="仿宋_GB2312"/>
          <w:color w:val="000000"/>
          <w:sz w:val="24"/>
          <w:highlight w:val="none"/>
        </w:rPr>
        <w:t>约定的</w:t>
      </w:r>
      <w:r>
        <w:rPr>
          <w:rFonts w:hint="eastAsia" w:ascii="仿宋_GB2312" w:hAnsi="仿宋_GB2312" w:eastAsia="仿宋_GB2312" w:cs="仿宋_GB2312"/>
          <w:sz w:val="24"/>
          <w:highlight w:val="none"/>
        </w:rPr>
        <w:t>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14:paraId="4A306ABD">
      <w:pPr>
        <w:pStyle w:val="9"/>
        <w:keepLines w:val="0"/>
        <w:pageBreakBefore w:val="0"/>
        <w:kinsoku/>
        <w:wordWrap/>
        <w:overflowPunct/>
        <w:topLinePunct w:val="0"/>
        <w:bidi w:val="0"/>
        <w:adjustRightInd w:val="0"/>
        <w:snapToGrid w:val="0"/>
        <w:spacing w:line="360" w:lineRule="exact"/>
        <w:ind w:firstLine="480" w:firstLineChars="200"/>
        <w:jc w:val="left"/>
        <w:textAlignment w:val="auto"/>
        <w:rPr>
          <w:rFonts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（2）采用中华人民共和国法定计量单位。</w:t>
      </w:r>
    </w:p>
    <w:p w14:paraId="3970DF16">
      <w:pPr>
        <w:keepLines w:val="0"/>
        <w:pageBreakBefore w:val="0"/>
        <w:kinsoku/>
        <w:wordWrap/>
        <w:overflowPunct/>
        <w:topLinePunct w:val="0"/>
        <w:autoSpaceDE w:val="0"/>
        <w:autoSpaceDN w:val="0"/>
        <w:bidi w:val="0"/>
        <w:adjustRightInd w:val="0"/>
        <w:snapToGrid w:val="0"/>
        <w:spacing w:line="360" w:lineRule="exact"/>
        <w:ind w:firstLine="480" w:firstLineChars="200"/>
        <w:jc w:val="left"/>
        <w:textAlignment w:val="auto"/>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（3）乙方所提供的货物应符合国家有关安全、环保、卫生的规定。</w:t>
      </w:r>
    </w:p>
    <w:p w14:paraId="69999EB2">
      <w:pPr>
        <w:keepLines w:val="0"/>
        <w:pageBreakBefore w:val="0"/>
        <w:kinsoku/>
        <w:wordWrap/>
        <w:overflowPunct/>
        <w:topLinePunct w:val="0"/>
        <w:autoSpaceDE w:val="0"/>
        <w:autoSpaceDN w:val="0"/>
        <w:bidi w:val="0"/>
        <w:adjustRightInd w:val="0"/>
        <w:snapToGrid w:val="0"/>
        <w:spacing w:line="360" w:lineRule="exact"/>
        <w:ind w:firstLine="480" w:firstLineChars="200"/>
        <w:jc w:val="left"/>
        <w:textAlignment w:val="auto"/>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（4）乙方应向甲方提交所提供货物的技术文件，包括相应的中文技术文件，如：产品目录、图纸、操作手册、使用说明、维护手册或服务指南等。上述文件应包装好随货物一同发运。</w:t>
      </w:r>
    </w:p>
    <w:p w14:paraId="3BE70413">
      <w:pPr>
        <w:keepLines w:val="0"/>
        <w:pageBreakBefore w:val="0"/>
        <w:kinsoku/>
        <w:wordWrap/>
        <w:overflowPunct/>
        <w:topLinePunct w:val="0"/>
        <w:autoSpaceDE w:val="0"/>
        <w:autoSpaceDN w:val="0"/>
        <w:bidi w:val="0"/>
        <w:adjustRightInd w:val="0"/>
        <w:snapToGrid w:val="0"/>
        <w:spacing w:line="360" w:lineRule="exact"/>
        <w:ind w:firstLine="480" w:firstLineChars="200"/>
        <w:jc w:val="left"/>
        <w:textAlignment w:val="auto"/>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8.2 保证</w:t>
      </w:r>
    </w:p>
    <w:p w14:paraId="7481E2A9">
      <w:pPr>
        <w:keepLines w:val="0"/>
        <w:pageBreakBefore w:val="0"/>
        <w:kinsoku/>
        <w:wordWrap/>
        <w:overflowPunct/>
        <w:topLinePunct w:val="0"/>
        <w:autoSpaceDE w:val="0"/>
        <w:autoSpaceDN w:val="0"/>
        <w:bidi w:val="0"/>
        <w:adjustRightInd w:val="0"/>
        <w:snapToGrid w:val="0"/>
        <w:spacing w:line="360" w:lineRule="exact"/>
        <w:ind w:firstLine="480" w:firstLineChars="200"/>
        <w:jc w:val="left"/>
        <w:textAlignment w:val="auto"/>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1）乙方应保证提供的货物完全符合合同规定的质量、规格和性能要求。乙方应保证货物在正确安装、正常使用和保养条件下，在其使用寿命期内具备合同约定的性能。存在质量保证期的，货物最终交付验收合格后在</w:t>
      </w:r>
      <w:r>
        <w:rPr>
          <w:rFonts w:hint="eastAsia" w:ascii="仿宋_GB2312" w:hAnsi="仿宋_GB2312" w:eastAsia="仿宋_GB2312" w:cs="仿宋_GB2312"/>
          <w:b/>
          <w:sz w:val="24"/>
          <w:highlight w:val="none"/>
        </w:rPr>
        <w:t>【政府采购合同专用条款】</w:t>
      </w:r>
      <w:r>
        <w:rPr>
          <w:rFonts w:hint="eastAsia" w:ascii="仿宋_GB2312" w:hAnsi="仿宋_GB2312" w:eastAsia="仿宋_GB2312" w:cs="仿宋_GB2312"/>
          <w:sz w:val="24"/>
          <w:highlight w:val="none"/>
        </w:rPr>
        <w:t>规定或乙方书面承诺（两者以较长的为准）的质量保证期内，本保证保持有效。</w:t>
      </w:r>
    </w:p>
    <w:p w14:paraId="6E4BC073">
      <w:pPr>
        <w:keepLines w:val="0"/>
        <w:pageBreakBefore w:val="0"/>
        <w:kinsoku/>
        <w:wordWrap/>
        <w:overflowPunct/>
        <w:topLinePunct w:val="0"/>
        <w:autoSpaceDE w:val="0"/>
        <w:autoSpaceDN w:val="0"/>
        <w:bidi w:val="0"/>
        <w:adjustRightInd w:val="0"/>
        <w:snapToGrid w:val="0"/>
        <w:spacing w:line="360" w:lineRule="exact"/>
        <w:ind w:firstLine="480" w:firstLineChars="200"/>
        <w:jc w:val="left"/>
        <w:textAlignment w:val="auto"/>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（2）在质量保证期内所发现的缺陷，甲方应尽快以书面形式通知乙方。</w:t>
      </w:r>
    </w:p>
    <w:p w14:paraId="611F2AAE">
      <w:pPr>
        <w:keepLines w:val="0"/>
        <w:pageBreakBefore w:val="0"/>
        <w:kinsoku/>
        <w:wordWrap/>
        <w:overflowPunct/>
        <w:topLinePunct w:val="0"/>
        <w:autoSpaceDE w:val="0"/>
        <w:autoSpaceDN w:val="0"/>
        <w:bidi w:val="0"/>
        <w:adjustRightInd w:val="0"/>
        <w:snapToGrid w:val="0"/>
        <w:spacing w:line="360" w:lineRule="exact"/>
        <w:ind w:firstLine="480" w:firstLineChars="200"/>
        <w:jc w:val="left"/>
        <w:textAlignment w:val="auto"/>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（3）乙方收到通知后，应在</w:t>
      </w:r>
      <w:r>
        <w:rPr>
          <w:rFonts w:hint="eastAsia" w:ascii="仿宋_GB2312" w:hAnsi="仿宋_GB2312" w:eastAsia="仿宋_GB2312" w:cs="仿宋_GB2312"/>
          <w:b/>
          <w:sz w:val="24"/>
          <w:highlight w:val="none"/>
        </w:rPr>
        <w:t>【政府采购合同专用条款】</w:t>
      </w:r>
      <w:r>
        <w:rPr>
          <w:rFonts w:hint="eastAsia" w:ascii="仿宋_GB2312" w:hAnsi="仿宋_GB2312" w:eastAsia="仿宋_GB2312" w:cs="仿宋_GB2312"/>
          <w:sz w:val="24"/>
          <w:highlight w:val="none"/>
        </w:rPr>
        <w:t>规定的响应时间内以合理的速度免费维修或更换有缺陷的货物或部件。</w:t>
      </w:r>
    </w:p>
    <w:p w14:paraId="2BFC9606">
      <w:pPr>
        <w:keepLines w:val="0"/>
        <w:pageBreakBefore w:val="0"/>
        <w:kinsoku/>
        <w:wordWrap/>
        <w:overflowPunct/>
        <w:topLinePunct w:val="0"/>
        <w:autoSpaceDE w:val="0"/>
        <w:autoSpaceDN w:val="0"/>
        <w:bidi w:val="0"/>
        <w:adjustRightInd w:val="0"/>
        <w:snapToGrid w:val="0"/>
        <w:spacing w:line="360" w:lineRule="exact"/>
        <w:ind w:firstLine="480" w:firstLineChars="200"/>
        <w:jc w:val="left"/>
        <w:textAlignment w:val="auto"/>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（4）在质量保证期内，如果货物的质量或规格与合同不符，或证实货物是有缺陷的，包括潜在的缺陷或使用不符合要求的材料等，甲方可以根据本合同第1</w:t>
      </w:r>
      <w:r>
        <w:rPr>
          <w:rFonts w:hint="eastAsia" w:ascii="仿宋_GB2312" w:hAnsi="仿宋_GB2312" w:eastAsia="仿宋_GB2312" w:cs="仿宋_GB2312"/>
          <w:color w:val="000000" w:themeColor="text1"/>
          <w:sz w:val="24"/>
          <w:highlight w:val="none"/>
          <w14:textFill>
            <w14:solidFill>
              <w14:schemeClr w14:val="tx1"/>
            </w14:solidFill>
          </w14:textFill>
        </w:rPr>
        <w:t>5</w:t>
      </w:r>
      <w:r>
        <w:rPr>
          <w:rFonts w:hint="eastAsia" w:ascii="仿宋_GB2312" w:hAnsi="仿宋_GB2312" w:eastAsia="仿宋_GB2312" w:cs="仿宋_GB2312"/>
          <w:sz w:val="24"/>
          <w:highlight w:val="none"/>
        </w:rPr>
        <w:t>.1条规定以书面形式</w:t>
      </w:r>
      <w:r>
        <w:rPr>
          <w:rFonts w:hint="eastAsia" w:ascii="仿宋_GB2312" w:hAnsi="仿宋_GB2312" w:eastAsia="仿宋_GB2312" w:cs="仿宋_GB2312"/>
          <w:color w:val="000000" w:themeColor="text1"/>
          <w:sz w:val="24"/>
          <w:highlight w:val="none"/>
          <w14:textFill>
            <w14:solidFill>
              <w14:schemeClr w14:val="tx1"/>
            </w14:solidFill>
          </w14:textFill>
        </w:rPr>
        <w:t>追究</w:t>
      </w:r>
      <w:r>
        <w:rPr>
          <w:rFonts w:hint="eastAsia" w:ascii="仿宋_GB2312" w:hAnsi="仿宋_GB2312" w:eastAsia="仿宋_GB2312" w:cs="仿宋_GB2312"/>
          <w:sz w:val="24"/>
          <w:highlight w:val="none"/>
        </w:rPr>
        <w:t>乙方</w:t>
      </w:r>
      <w:r>
        <w:rPr>
          <w:rFonts w:hint="eastAsia" w:ascii="仿宋_GB2312" w:hAnsi="仿宋_GB2312" w:eastAsia="仿宋_GB2312" w:cs="仿宋_GB2312"/>
          <w:color w:val="000000" w:themeColor="text1"/>
          <w:sz w:val="24"/>
          <w:highlight w:val="none"/>
          <w14:textFill>
            <w14:solidFill>
              <w14:schemeClr w14:val="tx1"/>
            </w14:solidFill>
          </w14:textFill>
        </w:rPr>
        <w:t>的违约责任</w:t>
      </w:r>
      <w:r>
        <w:rPr>
          <w:rFonts w:hint="eastAsia" w:ascii="仿宋_GB2312" w:hAnsi="仿宋_GB2312" w:eastAsia="仿宋_GB2312" w:cs="仿宋_GB2312"/>
          <w:sz w:val="24"/>
          <w:highlight w:val="none"/>
        </w:rPr>
        <w:t>。</w:t>
      </w:r>
    </w:p>
    <w:p w14:paraId="509D96DB">
      <w:pPr>
        <w:keepLines w:val="0"/>
        <w:pageBreakBefore w:val="0"/>
        <w:kinsoku/>
        <w:wordWrap/>
        <w:overflowPunct/>
        <w:topLinePunct w:val="0"/>
        <w:bidi w:val="0"/>
        <w:adjustRightInd w:val="0"/>
        <w:snapToGrid w:val="0"/>
        <w:spacing w:line="360" w:lineRule="exact"/>
        <w:ind w:firstLine="480" w:firstLineChars="200"/>
        <w:jc w:val="left"/>
        <w:textAlignment w:val="auto"/>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（5）乙方在约定的时间内未能弥补缺陷，甲方可采取必要的补救措施，但其风险和费用将由乙方承担，甲方根据合同约定对乙方行使的其他权利不受影响。</w:t>
      </w:r>
    </w:p>
    <w:p w14:paraId="66C81D60">
      <w:pPr>
        <w:keepLines w:val="0"/>
        <w:pageBreakBefore w:val="0"/>
        <w:kinsoku/>
        <w:wordWrap/>
        <w:overflowPunct/>
        <w:topLinePunct w:val="0"/>
        <w:bidi w:val="0"/>
        <w:adjustRightInd w:val="0"/>
        <w:snapToGrid w:val="0"/>
        <w:spacing w:line="360" w:lineRule="exact"/>
        <w:jc w:val="left"/>
        <w:textAlignment w:val="auto"/>
        <w:rPr>
          <w:rFonts w:ascii="仿宋_GB2312" w:hAnsi="仿宋_GB2312" w:eastAsia="仿宋_GB2312" w:cs="仿宋_GB2312"/>
          <w:b/>
          <w:bCs/>
          <w:sz w:val="24"/>
          <w:highlight w:val="none"/>
        </w:rPr>
      </w:pPr>
      <w:r>
        <w:rPr>
          <w:rFonts w:hint="eastAsia" w:ascii="仿宋_GB2312" w:hAnsi="仿宋_GB2312" w:eastAsia="仿宋_GB2312" w:cs="仿宋_GB2312"/>
          <w:b/>
          <w:bCs/>
          <w:color w:val="000000" w:themeColor="text1"/>
          <w:sz w:val="24"/>
          <w:highlight w:val="none"/>
          <w14:textFill>
            <w14:solidFill>
              <w14:schemeClr w14:val="tx1"/>
            </w14:solidFill>
          </w14:textFill>
        </w:rPr>
        <w:t>9</w:t>
      </w:r>
      <w:r>
        <w:rPr>
          <w:rFonts w:hint="eastAsia" w:ascii="仿宋_GB2312" w:hAnsi="仿宋_GB2312" w:eastAsia="仿宋_GB2312" w:cs="仿宋_GB2312"/>
          <w:b/>
          <w:bCs/>
          <w:sz w:val="24"/>
          <w:highlight w:val="none"/>
        </w:rPr>
        <w:t>.</w:t>
      </w:r>
      <w:r>
        <w:rPr>
          <w:rFonts w:hint="eastAsia" w:ascii="仿宋_GB2312" w:hAnsi="仿宋_GB2312" w:eastAsia="仿宋_GB2312" w:cs="仿宋_GB2312"/>
          <w:b/>
          <w:bCs/>
          <w:color w:val="000000" w:themeColor="text1"/>
          <w:sz w:val="24"/>
          <w:highlight w:val="none"/>
          <w14:textFill>
            <w14:solidFill>
              <w14:schemeClr w14:val="tx1"/>
            </w14:solidFill>
          </w14:textFill>
        </w:rPr>
        <w:t xml:space="preserve"> </w:t>
      </w:r>
      <w:r>
        <w:rPr>
          <w:rFonts w:hint="eastAsia" w:ascii="仿宋_GB2312" w:hAnsi="仿宋_GB2312" w:eastAsia="仿宋_GB2312" w:cs="仿宋_GB2312"/>
          <w:b/>
          <w:bCs/>
          <w:sz w:val="24"/>
          <w:highlight w:val="none"/>
        </w:rPr>
        <w:t>权利瑕疵担保</w:t>
      </w:r>
    </w:p>
    <w:p w14:paraId="79D8A0FB">
      <w:pPr>
        <w:keepLines w:val="0"/>
        <w:pageBreakBefore w:val="0"/>
        <w:kinsoku/>
        <w:wordWrap/>
        <w:overflowPunct/>
        <w:topLinePunct w:val="0"/>
        <w:autoSpaceDE w:val="0"/>
        <w:autoSpaceDN w:val="0"/>
        <w:bidi w:val="0"/>
        <w:adjustRightInd w:val="0"/>
        <w:snapToGrid w:val="0"/>
        <w:spacing w:line="360" w:lineRule="exact"/>
        <w:ind w:firstLine="480" w:firstLineChars="200"/>
        <w:jc w:val="left"/>
        <w:textAlignment w:val="auto"/>
        <w:rPr>
          <w:rFonts w:ascii="仿宋_GB2312" w:hAnsi="仿宋_GB2312" w:eastAsia="仿宋_GB2312" w:cs="仿宋_GB2312"/>
          <w:color w:val="000000" w:themeColor="text1"/>
          <w:sz w:val="24"/>
          <w:highlight w:val="none"/>
          <w14:textFill>
            <w14:solidFill>
              <w14:schemeClr w14:val="tx1"/>
            </w14:solidFill>
          </w14:textFill>
        </w:rPr>
      </w:pPr>
      <w:r>
        <w:rPr>
          <w:rFonts w:hint="eastAsia" w:ascii="仿宋_GB2312" w:hAnsi="仿宋_GB2312" w:eastAsia="仿宋_GB2312" w:cs="仿宋_GB2312"/>
          <w:color w:val="000000" w:themeColor="text1"/>
          <w:sz w:val="24"/>
          <w:highlight w:val="none"/>
          <w14:textFill>
            <w14:solidFill>
              <w14:schemeClr w14:val="tx1"/>
            </w14:solidFill>
          </w14:textFill>
        </w:rPr>
        <w:t>9.1 乙方保证对其出售的货物享有合法的权利。</w:t>
      </w:r>
    </w:p>
    <w:p w14:paraId="6EDD5ED4">
      <w:pPr>
        <w:keepLines w:val="0"/>
        <w:pageBreakBefore w:val="0"/>
        <w:kinsoku/>
        <w:wordWrap/>
        <w:overflowPunct/>
        <w:topLinePunct w:val="0"/>
        <w:autoSpaceDE w:val="0"/>
        <w:autoSpaceDN w:val="0"/>
        <w:bidi w:val="0"/>
        <w:adjustRightInd w:val="0"/>
        <w:snapToGrid w:val="0"/>
        <w:spacing w:line="360" w:lineRule="exact"/>
        <w:ind w:firstLine="480" w:firstLineChars="200"/>
        <w:jc w:val="left"/>
        <w:textAlignment w:val="auto"/>
        <w:rPr>
          <w:rFonts w:ascii="仿宋_GB2312" w:hAnsi="仿宋_GB2312" w:eastAsia="仿宋_GB2312" w:cs="仿宋_GB2312"/>
          <w:color w:val="000000" w:themeColor="text1"/>
          <w:sz w:val="24"/>
          <w:highlight w:val="none"/>
          <w14:textFill>
            <w14:solidFill>
              <w14:schemeClr w14:val="tx1"/>
            </w14:solidFill>
          </w14:textFill>
        </w:rPr>
      </w:pPr>
      <w:r>
        <w:rPr>
          <w:rFonts w:hint="eastAsia" w:ascii="仿宋_GB2312" w:hAnsi="仿宋_GB2312" w:eastAsia="仿宋_GB2312" w:cs="仿宋_GB2312"/>
          <w:color w:val="000000" w:themeColor="text1"/>
          <w:sz w:val="24"/>
          <w:highlight w:val="none"/>
          <w14:textFill>
            <w14:solidFill>
              <w14:schemeClr w14:val="tx1"/>
            </w14:solidFill>
          </w14:textFill>
        </w:rPr>
        <w:t xml:space="preserve">9.2 </w:t>
      </w:r>
      <w:r>
        <w:rPr>
          <w:rFonts w:hint="eastAsia" w:ascii="仿宋_GB2312" w:hAnsi="仿宋_GB2312" w:eastAsia="仿宋_GB2312" w:cs="仿宋_GB2312"/>
          <w:sz w:val="24"/>
          <w:highlight w:val="none"/>
        </w:rPr>
        <w:t>乙方保证在交付的货物上不存在抵押权等担保物权。</w:t>
      </w:r>
    </w:p>
    <w:p w14:paraId="02F0A9D3">
      <w:pPr>
        <w:keepLines w:val="0"/>
        <w:pageBreakBefore w:val="0"/>
        <w:kinsoku/>
        <w:wordWrap/>
        <w:overflowPunct/>
        <w:topLinePunct w:val="0"/>
        <w:autoSpaceDE w:val="0"/>
        <w:autoSpaceDN w:val="0"/>
        <w:bidi w:val="0"/>
        <w:adjustRightInd w:val="0"/>
        <w:snapToGrid w:val="0"/>
        <w:spacing w:line="360" w:lineRule="exact"/>
        <w:ind w:firstLine="480" w:firstLineChars="200"/>
        <w:jc w:val="left"/>
        <w:textAlignment w:val="auto"/>
        <w:rPr>
          <w:rFonts w:ascii="仿宋_GB2312" w:hAnsi="仿宋_GB2312" w:eastAsia="仿宋_GB2312" w:cs="仿宋_GB2312"/>
          <w:color w:val="000000" w:themeColor="text1"/>
          <w:sz w:val="24"/>
          <w:highlight w:val="none"/>
          <w14:textFill>
            <w14:solidFill>
              <w14:schemeClr w14:val="tx1"/>
            </w14:solidFill>
          </w14:textFill>
        </w:rPr>
      </w:pPr>
      <w:r>
        <w:rPr>
          <w:rFonts w:hint="eastAsia" w:ascii="仿宋_GB2312" w:hAnsi="仿宋_GB2312" w:eastAsia="仿宋_GB2312" w:cs="仿宋_GB2312"/>
          <w:color w:val="000000" w:themeColor="text1"/>
          <w:sz w:val="24"/>
          <w:highlight w:val="none"/>
          <w14:textFill>
            <w14:solidFill>
              <w14:schemeClr w14:val="tx1"/>
            </w14:solidFill>
          </w14:textFill>
        </w:rPr>
        <w:t>9.3 如甲方使用上述货物构成对第三人侵权的，则由乙方承担全部责任。</w:t>
      </w:r>
    </w:p>
    <w:p w14:paraId="58EAA43E">
      <w:pPr>
        <w:keepLines w:val="0"/>
        <w:pageBreakBefore w:val="0"/>
        <w:kinsoku/>
        <w:wordWrap/>
        <w:overflowPunct/>
        <w:topLinePunct w:val="0"/>
        <w:autoSpaceDE w:val="0"/>
        <w:autoSpaceDN w:val="0"/>
        <w:bidi w:val="0"/>
        <w:adjustRightInd w:val="0"/>
        <w:snapToGrid w:val="0"/>
        <w:spacing w:line="360" w:lineRule="exact"/>
        <w:jc w:val="left"/>
        <w:textAlignment w:val="auto"/>
        <w:rPr>
          <w:rFonts w:ascii="仿宋_GB2312" w:hAnsi="仿宋_GB2312" w:eastAsia="仿宋_GB2312" w:cs="仿宋_GB2312"/>
          <w:b/>
          <w:bCs/>
          <w:color w:val="000000" w:themeColor="text1"/>
          <w:sz w:val="24"/>
          <w:highlight w:val="none"/>
          <w14:textFill>
            <w14:solidFill>
              <w14:schemeClr w14:val="tx1"/>
            </w14:solidFill>
          </w14:textFill>
        </w:rPr>
      </w:pPr>
      <w:r>
        <w:rPr>
          <w:rFonts w:hint="eastAsia" w:ascii="仿宋_GB2312" w:hAnsi="仿宋_GB2312" w:eastAsia="仿宋_GB2312" w:cs="仿宋_GB2312"/>
          <w:b/>
          <w:bCs/>
          <w:color w:val="000000" w:themeColor="text1"/>
          <w:sz w:val="24"/>
          <w:highlight w:val="none"/>
          <w14:textFill>
            <w14:solidFill>
              <w14:schemeClr w14:val="tx1"/>
            </w14:solidFill>
          </w14:textFill>
        </w:rPr>
        <w:t>10. 知识产权保护</w:t>
      </w:r>
    </w:p>
    <w:p w14:paraId="1194EC72">
      <w:pPr>
        <w:keepLines w:val="0"/>
        <w:pageBreakBefore w:val="0"/>
        <w:kinsoku/>
        <w:wordWrap/>
        <w:overflowPunct/>
        <w:topLinePunct w:val="0"/>
        <w:autoSpaceDE w:val="0"/>
        <w:autoSpaceDN w:val="0"/>
        <w:bidi w:val="0"/>
        <w:adjustRightInd w:val="0"/>
        <w:snapToGrid w:val="0"/>
        <w:spacing w:line="360" w:lineRule="exact"/>
        <w:ind w:firstLine="480" w:firstLineChars="200"/>
        <w:jc w:val="left"/>
        <w:textAlignment w:val="auto"/>
        <w:rPr>
          <w:rFonts w:ascii="仿宋_GB2312" w:hAnsi="仿宋_GB2312" w:eastAsia="仿宋_GB2312" w:cs="仿宋_GB2312"/>
          <w:sz w:val="24"/>
          <w:highlight w:val="none"/>
        </w:rPr>
      </w:pPr>
      <w:r>
        <w:rPr>
          <w:rFonts w:hint="eastAsia" w:ascii="仿宋_GB2312" w:hAnsi="仿宋_GB2312" w:eastAsia="仿宋_GB2312" w:cs="仿宋_GB2312"/>
          <w:color w:val="000000" w:themeColor="text1"/>
          <w:sz w:val="24"/>
          <w:highlight w:val="none"/>
          <w14:textFill>
            <w14:solidFill>
              <w14:schemeClr w14:val="tx1"/>
            </w14:solidFill>
          </w14:textFill>
        </w:rPr>
        <w:t>10.1 乙方对其所销售的货物应当享有知识产权或经权利人合法授权，保证没有侵犯任</w:t>
      </w:r>
      <w:r>
        <w:rPr>
          <w:rFonts w:hint="eastAsia" w:ascii="仿宋_GB2312" w:hAnsi="仿宋_GB2312" w:eastAsia="仿宋_GB2312" w:cs="仿宋_GB2312"/>
          <w:sz w:val="24"/>
          <w:highlight w:val="none"/>
        </w:rPr>
        <w:t>何第三人的知识产权等权利。</w:t>
      </w:r>
      <w:bookmarkStart w:id="4" w:name="_Hlk163047038"/>
      <w:r>
        <w:rPr>
          <w:rFonts w:hint="eastAsia" w:ascii="仿宋_GB2312" w:hAnsi="仿宋_GB2312" w:eastAsia="仿宋_GB2312" w:cs="仿宋_GB2312"/>
          <w:sz w:val="24"/>
          <w:highlight w:val="none"/>
        </w:rPr>
        <w:t>因违反前述约定对第三人构成侵权的，应当由乙方向第三人承担法律责任；甲方依法向第三人赔偿后，有权向乙方追偿。甲方有其他损失的，乙方应当赔偿</w:t>
      </w:r>
      <w:bookmarkEnd w:id="4"/>
      <w:r>
        <w:rPr>
          <w:rFonts w:hint="eastAsia" w:ascii="仿宋_GB2312" w:hAnsi="仿宋_GB2312" w:eastAsia="仿宋_GB2312" w:cs="仿宋_GB2312"/>
          <w:sz w:val="24"/>
          <w:highlight w:val="none"/>
        </w:rPr>
        <w:t>。</w:t>
      </w:r>
    </w:p>
    <w:p w14:paraId="5D40C7AA">
      <w:pPr>
        <w:keepLines w:val="0"/>
        <w:pageBreakBefore w:val="0"/>
        <w:kinsoku/>
        <w:wordWrap/>
        <w:overflowPunct/>
        <w:topLinePunct w:val="0"/>
        <w:autoSpaceDE w:val="0"/>
        <w:autoSpaceDN w:val="0"/>
        <w:bidi w:val="0"/>
        <w:adjustRightInd w:val="0"/>
        <w:snapToGrid w:val="0"/>
        <w:spacing w:line="360" w:lineRule="exact"/>
        <w:jc w:val="left"/>
        <w:textAlignment w:val="auto"/>
        <w:rPr>
          <w:rFonts w:ascii="仿宋_GB2312" w:hAnsi="仿宋_GB2312" w:eastAsia="仿宋_GB2312" w:cs="仿宋_GB2312"/>
          <w:b/>
          <w:bCs/>
          <w:sz w:val="24"/>
          <w:highlight w:val="none"/>
        </w:rPr>
      </w:pPr>
      <w:r>
        <w:rPr>
          <w:rFonts w:hint="eastAsia" w:ascii="仿宋_GB2312" w:hAnsi="仿宋_GB2312" w:eastAsia="仿宋_GB2312" w:cs="仿宋_GB2312"/>
          <w:b/>
          <w:bCs/>
          <w:sz w:val="24"/>
          <w:highlight w:val="none"/>
        </w:rPr>
        <w:t>11. 保密义务</w:t>
      </w:r>
    </w:p>
    <w:p w14:paraId="2C1501C0">
      <w:pPr>
        <w:keepLines w:val="0"/>
        <w:pageBreakBefore w:val="0"/>
        <w:kinsoku/>
        <w:wordWrap/>
        <w:overflowPunct/>
        <w:topLinePunct w:val="0"/>
        <w:autoSpaceDE w:val="0"/>
        <w:autoSpaceDN w:val="0"/>
        <w:bidi w:val="0"/>
        <w:adjustRightInd w:val="0"/>
        <w:snapToGrid w:val="0"/>
        <w:spacing w:line="360" w:lineRule="exact"/>
        <w:ind w:firstLine="480" w:firstLineChars="200"/>
        <w:jc w:val="left"/>
        <w:textAlignment w:val="auto"/>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Pr>
          <w:rFonts w:hint="eastAsia" w:ascii="仿宋_GB2312" w:hAnsi="仿宋_GB2312" w:eastAsia="仿宋_GB2312" w:cs="仿宋_GB2312"/>
          <w:b/>
          <w:bCs/>
          <w:sz w:val="24"/>
          <w:highlight w:val="none"/>
        </w:rPr>
        <w:t>【政府采购合同专用条款】</w:t>
      </w:r>
      <w:r>
        <w:rPr>
          <w:rFonts w:hint="eastAsia" w:ascii="仿宋_GB2312" w:hAnsi="仿宋_GB2312" w:eastAsia="仿宋_GB2312" w:cs="仿宋_GB2312"/>
          <w:sz w:val="24"/>
          <w:highlight w:val="none"/>
        </w:rPr>
        <w:t>中约定。</w:t>
      </w:r>
    </w:p>
    <w:p w14:paraId="661E8F36">
      <w:pPr>
        <w:keepLines w:val="0"/>
        <w:pageBreakBefore w:val="0"/>
        <w:kinsoku/>
        <w:wordWrap/>
        <w:overflowPunct/>
        <w:topLinePunct w:val="0"/>
        <w:autoSpaceDE w:val="0"/>
        <w:autoSpaceDN w:val="0"/>
        <w:bidi w:val="0"/>
        <w:adjustRightInd w:val="0"/>
        <w:snapToGrid w:val="0"/>
        <w:spacing w:line="360" w:lineRule="exact"/>
        <w:jc w:val="left"/>
        <w:textAlignment w:val="auto"/>
        <w:rPr>
          <w:rFonts w:ascii="仿宋_GB2312" w:hAnsi="仿宋_GB2312" w:eastAsia="仿宋_GB2312" w:cs="仿宋_GB2312"/>
          <w:b/>
          <w:bCs/>
          <w:sz w:val="24"/>
          <w:highlight w:val="none"/>
        </w:rPr>
      </w:pPr>
      <w:r>
        <w:rPr>
          <w:rFonts w:hint="eastAsia" w:ascii="仿宋_GB2312" w:hAnsi="仿宋_GB2312" w:eastAsia="仿宋_GB2312" w:cs="仿宋_GB2312"/>
          <w:b/>
          <w:bCs/>
          <w:sz w:val="24"/>
          <w:highlight w:val="none"/>
        </w:rPr>
        <w:t>12. 合同价款支付</w:t>
      </w:r>
    </w:p>
    <w:p w14:paraId="73CF0352">
      <w:pPr>
        <w:keepLines w:val="0"/>
        <w:pageBreakBefore w:val="0"/>
        <w:kinsoku/>
        <w:wordWrap/>
        <w:overflowPunct/>
        <w:topLinePunct w:val="0"/>
        <w:bidi w:val="0"/>
        <w:adjustRightInd w:val="0"/>
        <w:snapToGrid w:val="0"/>
        <w:spacing w:line="360" w:lineRule="exact"/>
        <w:ind w:firstLine="480" w:firstLineChars="200"/>
        <w:jc w:val="left"/>
        <w:textAlignment w:val="auto"/>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12.1 合同价款支付按照财政管理相关规定执行。</w:t>
      </w:r>
    </w:p>
    <w:p w14:paraId="40A1082C">
      <w:pPr>
        <w:pStyle w:val="3"/>
        <w:keepLines w:val="0"/>
        <w:pageBreakBefore w:val="0"/>
        <w:kinsoku/>
        <w:wordWrap/>
        <w:overflowPunct/>
        <w:topLinePunct w:val="0"/>
        <w:bidi w:val="0"/>
        <w:spacing w:line="360" w:lineRule="exact"/>
        <w:ind w:firstLine="480" w:firstLineChars="200"/>
        <w:textAlignment w:val="auto"/>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12.2 对于满足合同约定支付条件的，甲方原则上应当自收到发票后</w:t>
      </w:r>
      <w:r>
        <w:rPr>
          <w:rFonts w:hint="eastAsia" w:ascii="仿宋_GB2312" w:hAnsi="仿宋_GB2312" w:eastAsia="仿宋_GB2312" w:cs="仿宋_GB2312"/>
          <w:sz w:val="24"/>
          <w:highlight w:val="none"/>
          <w:lang w:val="en-US" w:eastAsia="zh-CN"/>
        </w:rPr>
        <w:t>10个工作</w:t>
      </w:r>
      <w:r>
        <w:rPr>
          <w:rFonts w:hint="eastAsia" w:ascii="仿宋_GB2312" w:hAnsi="仿宋_GB2312" w:eastAsia="仿宋_GB2312" w:cs="仿宋_GB2312"/>
          <w:sz w:val="24"/>
          <w:highlight w:val="none"/>
        </w:rPr>
        <w:t>日内将资金支付到合同约定的乙方账户，不得以机构变动、人员更替、政策调整等为由迟延付款，不得将采购文件和合同中未规定的义务作为向乙方付款的条件。具体合同价款支付时间在【政府采购合同专用条款】中约定。</w:t>
      </w:r>
    </w:p>
    <w:p w14:paraId="0B7B3099">
      <w:pPr>
        <w:pStyle w:val="7"/>
        <w:keepLines w:val="0"/>
        <w:pageBreakBefore w:val="0"/>
        <w:kinsoku/>
        <w:wordWrap/>
        <w:overflowPunct/>
        <w:topLinePunct w:val="0"/>
        <w:bidi w:val="0"/>
        <w:spacing w:line="360" w:lineRule="exact"/>
        <w:textAlignment w:val="auto"/>
        <w:rPr>
          <w:rFonts w:ascii="仿宋_GB2312" w:hAnsi="仿宋_GB2312" w:eastAsia="仿宋_GB2312" w:cs="仿宋_GB2312"/>
          <w:b/>
          <w:bCs/>
          <w:color w:val="auto"/>
          <w:highlight w:val="none"/>
        </w:rPr>
      </w:pPr>
      <w:r>
        <w:rPr>
          <w:rFonts w:hint="eastAsia" w:ascii="仿宋_GB2312" w:hAnsi="仿宋_GB2312" w:eastAsia="仿宋_GB2312" w:cs="仿宋_GB2312"/>
          <w:b/>
          <w:bCs/>
          <w:color w:val="auto"/>
          <w:highlight w:val="none"/>
        </w:rPr>
        <w:t>13. 履约保证金</w:t>
      </w:r>
    </w:p>
    <w:p w14:paraId="40747EF4">
      <w:pPr>
        <w:keepLines w:val="0"/>
        <w:pageBreakBefore w:val="0"/>
        <w:kinsoku/>
        <w:wordWrap/>
        <w:overflowPunct/>
        <w:topLinePunct w:val="0"/>
        <w:bidi w:val="0"/>
        <w:adjustRightInd w:val="0"/>
        <w:snapToGrid w:val="0"/>
        <w:spacing w:line="360" w:lineRule="exact"/>
        <w:ind w:firstLine="480" w:firstLineChars="200"/>
        <w:jc w:val="left"/>
        <w:textAlignment w:val="auto"/>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13.1 乙方应当以支票、汇票、本票或者金融机构、担保机构出具的保函等非现金形式提交。</w:t>
      </w:r>
    </w:p>
    <w:p w14:paraId="4672B6FC">
      <w:pPr>
        <w:keepLines w:val="0"/>
        <w:pageBreakBefore w:val="0"/>
        <w:kinsoku/>
        <w:wordWrap/>
        <w:overflowPunct/>
        <w:topLinePunct w:val="0"/>
        <w:bidi w:val="0"/>
        <w:adjustRightInd w:val="0"/>
        <w:snapToGrid w:val="0"/>
        <w:spacing w:line="360" w:lineRule="exact"/>
        <w:ind w:firstLine="480" w:firstLineChars="200"/>
        <w:jc w:val="left"/>
        <w:textAlignment w:val="auto"/>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13.2 如果乙方出现</w:t>
      </w:r>
      <w:r>
        <w:rPr>
          <w:rFonts w:hint="eastAsia" w:ascii="仿宋_GB2312" w:hAnsi="仿宋_GB2312" w:eastAsia="仿宋_GB2312" w:cs="仿宋_GB2312"/>
          <w:b/>
          <w:bCs/>
          <w:sz w:val="24"/>
          <w:highlight w:val="none"/>
        </w:rPr>
        <w:t>【政府采购合同专用条款】</w:t>
      </w:r>
      <w:r>
        <w:rPr>
          <w:rFonts w:hint="eastAsia" w:ascii="仿宋_GB2312" w:hAnsi="仿宋_GB2312" w:eastAsia="仿宋_GB2312" w:cs="仿宋_GB2312"/>
          <w:sz w:val="24"/>
          <w:highlight w:val="none"/>
        </w:rPr>
        <w:t>约定情形的，履约保证金不予退还；如果乙方未能按合同约定全面履行义务，甲方有权从履约保证金中取得补偿或赔偿，且不影响甲方要求乙方承担合同约定的超过履约保证金的违约责任的权利。</w:t>
      </w:r>
    </w:p>
    <w:p w14:paraId="24E911C2">
      <w:pPr>
        <w:keepLines w:val="0"/>
        <w:pageBreakBefore w:val="0"/>
        <w:kinsoku/>
        <w:wordWrap/>
        <w:overflowPunct/>
        <w:topLinePunct w:val="0"/>
        <w:bidi w:val="0"/>
        <w:spacing w:line="360" w:lineRule="exact"/>
        <w:ind w:firstLine="420"/>
        <w:textAlignment w:val="auto"/>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13.3 甲方在项目通过验收后按照</w:t>
      </w:r>
      <w:r>
        <w:rPr>
          <w:rFonts w:hint="eastAsia" w:ascii="仿宋_GB2312" w:hAnsi="仿宋_GB2312" w:eastAsia="仿宋_GB2312" w:cs="仿宋_GB2312"/>
          <w:b/>
          <w:sz w:val="24"/>
          <w:highlight w:val="none"/>
        </w:rPr>
        <w:t>【政府采购合同专用条款】</w:t>
      </w:r>
      <w:r>
        <w:rPr>
          <w:rFonts w:hint="eastAsia" w:ascii="仿宋_GB2312" w:hAnsi="仿宋_GB2312" w:eastAsia="仿宋_GB2312" w:cs="仿宋_GB2312"/>
          <w:sz w:val="24"/>
          <w:highlight w:val="none"/>
        </w:rPr>
        <w:t>规定的时间内将履约保证金退还乙方；逾期退还的，乙方可要求甲方支付违约金，违约金按照</w:t>
      </w:r>
      <w:r>
        <w:rPr>
          <w:rFonts w:hint="eastAsia" w:ascii="仿宋_GB2312" w:hAnsi="仿宋_GB2312" w:eastAsia="仿宋_GB2312" w:cs="仿宋_GB2312"/>
          <w:b/>
          <w:sz w:val="24"/>
          <w:highlight w:val="none"/>
        </w:rPr>
        <w:t>【政府采购合同专用条款】</w:t>
      </w:r>
      <w:r>
        <w:rPr>
          <w:rFonts w:hint="eastAsia" w:ascii="仿宋_GB2312" w:hAnsi="仿宋_GB2312" w:eastAsia="仿宋_GB2312" w:cs="仿宋_GB2312"/>
          <w:sz w:val="24"/>
          <w:highlight w:val="none"/>
        </w:rPr>
        <w:t>规定支付。</w:t>
      </w:r>
    </w:p>
    <w:p w14:paraId="63789F04">
      <w:pPr>
        <w:keepLines w:val="0"/>
        <w:pageBreakBefore w:val="0"/>
        <w:kinsoku/>
        <w:wordWrap/>
        <w:overflowPunct/>
        <w:topLinePunct w:val="0"/>
        <w:autoSpaceDE w:val="0"/>
        <w:autoSpaceDN w:val="0"/>
        <w:bidi w:val="0"/>
        <w:adjustRightInd w:val="0"/>
        <w:snapToGrid w:val="0"/>
        <w:spacing w:line="360" w:lineRule="exact"/>
        <w:jc w:val="left"/>
        <w:textAlignment w:val="auto"/>
        <w:rPr>
          <w:rFonts w:ascii="仿宋_GB2312" w:hAnsi="仿宋_GB2312" w:eastAsia="仿宋_GB2312" w:cs="仿宋_GB2312"/>
          <w:b/>
          <w:sz w:val="24"/>
          <w:highlight w:val="none"/>
        </w:rPr>
      </w:pPr>
      <w:r>
        <w:rPr>
          <w:rFonts w:hint="eastAsia" w:ascii="仿宋_GB2312" w:hAnsi="仿宋_GB2312" w:eastAsia="仿宋_GB2312" w:cs="仿宋_GB2312"/>
          <w:b/>
          <w:bCs/>
          <w:sz w:val="24"/>
          <w:highlight w:val="none"/>
        </w:rPr>
        <w:t xml:space="preserve">14. </w:t>
      </w:r>
      <w:r>
        <w:rPr>
          <w:rFonts w:hint="eastAsia" w:ascii="仿宋_GB2312" w:hAnsi="仿宋_GB2312" w:eastAsia="仿宋_GB2312" w:cs="仿宋_GB2312"/>
          <w:b/>
          <w:sz w:val="24"/>
          <w:highlight w:val="none"/>
        </w:rPr>
        <w:t>售后服务</w:t>
      </w:r>
    </w:p>
    <w:p w14:paraId="2B3DB66E">
      <w:pPr>
        <w:keepLines w:val="0"/>
        <w:pageBreakBefore w:val="0"/>
        <w:kinsoku/>
        <w:wordWrap/>
        <w:overflowPunct/>
        <w:topLinePunct w:val="0"/>
        <w:autoSpaceDE w:val="0"/>
        <w:autoSpaceDN w:val="0"/>
        <w:bidi w:val="0"/>
        <w:adjustRightInd w:val="0"/>
        <w:snapToGrid w:val="0"/>
        <w:spacing w:line="360" w:lineRule="exact"/>
        <w:ind w:firstLine="480" w:firstLineChars="200"/>
        <w:jc w:val="left"/>
        <w:textAlignment w:val="auto"/>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14.1 除项目不涉及或采购活动中明确约定无须承担外，乙方还应提供下列服务：</w:t>
      </w:r>
    </w:p>
    <w:p w14:paraId="2E3F62E4">
      <w:pPr>
        <w:keepLines w:val="0"/>
        <w:pageBreakBefore w:val="0"/>
        <w:kinsoku/>
        <w:wordWrap/>
        <w:overflowPunct/>
        <w:topLinePunct w:val="0"/>
        <w:autoSpaceDE w:val="0"/>
        <w:autoSpaceDN w:val="0"/>
        <w:bidi w:val="0"/>
        <w:adjustRightInd w:val="0"/>
        <w:snapToGrid w:val="0"/>
        <w:spacing w:line="360" w:lineRule="exact"/>
        <w:ind w:firstLine="480" w:firstLineChars="200"/>
        <w:jc w:val="left"/>
        <w:textAlignment w:val="auto"/>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（1）货物的现场移动、安装、调试、启动监督及技术支持；</w:t>
      </w:r>
    </w:p>
    <w:p w14:paraId="5020F18F">
      <w:pPr>
        <w:keepLines w:val="0"/>
        <w:pageBreakBefore w:val="0"/>
        <w:kinsoku/>
        <w:wordWrap/>
        <w:overflowPunct/>
        <w:topLinePunct w:val="0"/>
        <w:autoSpaceDE w:val="0"/>
        <w:autoSpaceDN w:val="0"/>
        <w:bidi w:val="0"/>
        <w:adjustRightInd w:val="0"/>
        <w:snapToGrid w:val="0"/>
        <w:spacing w:line="360" w:lineRule="exact"/>
        <w:ind w:firstLine="480" w:firstLineChars="200"/>
        <w:jc w:val="left"/>
        <w:textAlignment w:val="auto"/>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（2）提供货物组装和维修所需的专用工具和辅助材料；</w:t>
      </w:r>
    </w:p>
    <w:p w14:paraId="2702750A">
      <w:pPr>
        <w:keepLines w:val="0"/>
        <w:pageBreakBefore w:val="0"/>
        <w:kinsoku/>
        <w:wordWrap/>
        <w:overflowPunct/>
        <w:topLinePunct w:val="0"/>
        <w:autoSpaceDE w:val="0"/>
        <w:autoSpaceDN w:val="0"/>
        <w:bidi w:val="0"/>
        <w:adjustRightInd w:val="0"/>
        <w:snapToGrid w:val="0"/>
        <w:spacing w:line="360" w:lineRule="exact"/>
        <w:ind w:firstLine="480" w:firstLineChars="200"/>
        <w:jc w:val="left"/>
        <w:textAlignment w:val="auto"/>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（3）在</w:t>
      </w:r>
      <w:r>
        <w:rPr>
          <w:rFonts w:hint="eastAsia" w:ascii="仿宋_GB2312" w:hAnsi="仿宋_GB2312" w:eastAsia="仿宋_GB2312" w:cs="仿宋_GB2312"/>
          <w:b/>
          <w:bCs/>
          <w:sz w:val="24"/>
          <w:highlight w:val="none"/>
        </w:rPr>
        <w:t>【政府采购合同专用条款】</w:t>
      </w:r>
      <w:r>
        <w:rPr>
          <w:rFonts w:hint="eastAsia" w:ascii="仿宋_GB2312" w:hAnsi="仿宋_GB2312" w:eastAsia="仿宋_GB2312" w:cs="仿宋_GB2312"/>
          <w:sz w:val="24"/>
          <w:highlight w:val="none"/>
        </w:rPr>
        <w:t>约定的期限内对所有的货物实施运行监督、维修，但前提条件是该服务并不能免除乙方在质量保证期内所承担的义务；</w:t>
      </w:r>
    </w:p>
    <w:p w14:paraId="44771D67">
      <w:pPr>
        <w:keepLines w:val="0"/>
        <w:pageBreakBefore w:val="0"/>
        <w:kinsoku/>
        <w:wordWrap/>
        <w:overflowPunct/>
        <w:topLinePunct w:val="0"/>
        <w:autoSpaceDE w:val="0"/>
        <w:autoSpaceDN w:val="0"/>
        <w:bidi w:val="0"/>
        <w:adjustRightInd w:val="0"/>
        <w:snapToGrid w:val="0"/>
        <w:spacing w:line="360" w:lineRule="exact"/>
        <w:ind w:firstLine="480" w:firstLineChars="200"/>
        <w:jc w:val="left"/>
        <w:textAlignment w:val="auto"/>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（4）在制造商所在地或指定现场就货物的安装、启动、运营、维护、废弃处置等对甲方操作人员进行培训；</w:t>
      </w:r>
    </w:p>
    <w:p w14:paraId="10B05CDF">
      <w:pPr>
        <w:pStyle w:val="21"/>
        <w:keepLines w:val="0"/>
        <w:pageBreakBefore w:val="0"/>
        <w:kinsoku/>
        <w:wordWrap/>
        <w:overflowPunct/>
        <w:topLinePunct w:val="0"/>
        <w:bidi w:val="0"/>
        <w:spacing w:line="360" w:lineRule="exact"/>
        <w:ind w:firstLine="480"/>
        <w:textAlignment w:val="auto"/>
        <w:rPr>
          <w:rFonts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（5）依照法律、行政法规的规定或者按照</w:t>
      </w:r>
      <w:r>
        <w:rPr>
          <w:rFonts w:hint="eastAsia" w:ascii="仿宋_GB2312" w:hAnsi="仿宋_GB2312" w:eastAsia="仿宋_GB2312" w:cs="仿宋_GB2312"/>
          <w:b/>
          <w:bCs/>
          <w:sz w:val="24"/>
          <w:szCs w:val="24"/>
          <w:highlight w:val="none"/>
        </w:rPr>
        <w:t>【政府采购合同专用条款】</w:t>
      </w:r>
      <w:r>
        <w:rPr>
          <w:rFonts w:hint="eastAsia" w:ascii="仿宋_GB2312" w:hAnsi="仿宋_GB2312" w:eastAsia="仿宋_GB2312" w:cs="仿宋_GB2312"/>
          <w:sz w:val="24"/>
          <w:szCs w:val="24"/>
          <w:highlight w:val="none"/>
        </w:rPr>
        <w:t>约定，货物在有效使用年限届满后应予回收的，乙方负有自行或者委托第三人对货物予以回收的义务；</w:t>
      </w:r>
    </w:p>
    <w:p w14:paraId="79545A1D">
      <w:pPr>
        <w:keepLines w:val="0"/>
        <w:pageBreakBefore w:val="0"/>
        <w:kinsoku/>
        <w:wordWrap/>
        <w:overflowPunct/>
        <w:topLinePunct w:val="0"/>
        <w:autoSpaceDE w:val="0"/>
        <w:autoSpaceDN w:val="0"/>
        <w:bidi w:val="0"/>
        <w:adjustRightInd w:val="0"/>
        <w:snapToGrid w:val="0"/>
        <w:spacing w:line="360" w:lineRule="exact"/>
        <w:ind w:firstLine="480" w:firstLineChars="200"/>
        <w:jc w:val="left"/>
        <w:textAlignment w:val="auto"/>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（6）</w:t>
      </w:r>
      <w:r>
        <w:rPr>
          <w:rFonts w:hint="eastAsia" w:ascii="仿宋_GB2312" w:hAnsi="仿宋_GB2312" w:eastAsia="仿宋_GB2312" w:cs="仿宋_GB2312"/>
          <w:b/>
          <w:sz w:val="24"/>
          <w:highlight w:val="none"/>
        </w:rPr>
        <w:t>【政府采购合同专用条款】</w:t>
      </w:r>
      <w:r>
        <w:rPr>
          <w:rFonts w:hint="eastAsia" w:ascii="仿宋_GB2312" w:hAnsi="仿宋_GB2312" w:eastAsia="仿宋_GB2312" w:cs="仿宋_GB2312"/>
          <w:sz w:val="24"/>
          <w:highlight w:val="none"/>
        </w:rPr>
        <w:t>规定由乙方提供的其他服务。</w:t>
      </w:r>
    </w:p>
    <w:p w14:paraId="76248434">
      <w:pPr>
        <w:keepLines w:val="0"/>
        <w:pageBreakBefore w:val="0"/>
        <w:kinsoku/>
        <w:wordWrap/>
        <w:overflowPunct/>
        <w:topLinePunct w:val="0"/>
        <w:autoSpaceDE w:val="0"/>
        <w:autoSpaceDN w:val="0"/>
        <w:bidi w:val="0"/>
        <w:adjustRightInd w:val="0"/>
        <w:snapToGrid w:val="0"/>
        <w:spacing w:line="360" w:lineRule="exact"/>
        <w:ind w:firstLine="480" w:firstLineChars="200"/>
        <w:jc w:val="left"/>
        <w:textAlignment w:val="auto"/>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14.2 乙方提供的售后服务的费用已包含在合同价款中，甲方不再另行支付。</w:t>
      </w:r>
    </w:p>
    <w:p w14:paraId="1392E4C4">
      <w:pPr>
        <w:keepLines w:val="0"/>
        <w:pageBreakBefore w:val="0"/>
        <w:kinsoku/>
        <w:wordWrap/>
        <w:overflowPunct/>
        <w:topLinePunct w:val="0"/>
        <w:bidi w:val="0"/>
        <w:adjustRightInd w:val="0"/>
        <w:snapToGrid w:val="0"/>
        <w:spacing w:line="360" w:lineRule="exact"/>
        <w:jc w:val="left"/>
        <w:textAlignment w:val="auto"/>
        <w:rPr>
          <w:rFonts w:ascii="仿宋_GB2312" w:hAnsi="仿宋_GB2312" w:eastAsia="仿宋_GB2312" w:cs="仿宋_GB2312"/>
          <w:b/>
          <w:bCs/>
          <w:sz w:val="24"/>
          <w:highlight w:val="none"/>
        </w:rPr>
      </w:pPr>
      <w:r>
        <w:rPr>
          <w:rFonts w:hint="eastAsia" w:ascii="仿宋_GB2312" w:hAnsi="仿宋_GB2312" w:eastAsia="仿宋_GB2312" w:cs="仿宋_GB2312"/>
          <w:b/>
          <w:bCs/>
          <w:sz w:val="24"/>
          <w:highlight w:val="none"/>
        </w:rPr>
        <w:t>15. 违约责任</w:t>
      </w:r>
    </w:p>
    <w:p w14:paraId="2957CD91">
      <w:pPr>
        <w:keepLines w:val="0"/>
        <w:pageBreakBefore w:val="0"/>
        <w:kinsoku/>
        <w:wordWrap/>
        <w:overflowPunct/>
        <w:topLinePunct w:val="0"/>
        <w:bidi w:val="0"/>
        <w:adjustRightInd w:val="0"/>
        <w:snapToGrid w:val="0"/>
        <w:spacing w:line="360" w:lineRule="exact"/>
        <w:ind w:firstLine="480" w:firstLineChars="200"/>
        <w:jc w:val="left"/>
        <w:textAlignment w:val="auto"/>
        <w:rPr>
          <w:rFonts w:ascii="仿宋_GB2312" w:hAnsi="仿宋_GB2312" w:eastAsia="仿宋_GB2312" w:cs="仿宋_GB2312"/>
          <w:bCs/>
          <w:sz w:val="24"/>
          <w:highlight w:val="none"/>
        </w:rPr>
      </w:pPr>
      <w:r>
        <w:rPr>
          <w:rFonts w:hint="eastAsia" w:ascii="仿宋_GB2312" w:hAnsi="仿宋_GB2312" w:eastAsia="仿宋_GB2312" w:cs="仿宋_GB2312"/>
          <w:bCs/>
          <w:sz w:val="24"/>
          <w:highlight w:val="none"/>
        </w:rPr>
        <w:t>15.1质量瑕疵的违约责任</w:t>
      </w:r>
    </w:p>
    <w:p w14:paraId="6CF7CBF7">
      <w:pPr>
        <w:keepLines w:val="0"/>
        <w:pageBreakBefore w:val="0"/>
        <w:kinsoku/>
        <w:wordWrap/>
        <w:overflowPunct/>
        <w:topLinePunct w:val="0"/>
        <w:autoSpaceDE w:val="0"/>
        <w:autoSpaceDN w:val="0"/>
        <w:bidi w:val="0"/>
        <w:adjustRightInd w:val="0"/>
        <w:snapToGrid w:val="0"/>
        <w:spacing w:line="360" w:lineRule="exact"/>
        <w:ind w:firstLine="480" w:firstLineChars="200"/>
        <w:jc w:val="left"/>
        <w:textAlignment w:val="auto"/>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乙方提供的产品不符合合同约定的质量标准或存在产品质量缺陷，甲方有权要求乙方根据</w:t>
      </w:r>
      <w:r>
        <w:rPr>
          <w:rFonts w:hint="eastAsia" w:ascii="仿宋_GB2312" w:hAnsi="仿宋_GB2312" w:eastAsia="仿宋_GB2312" w:cs="仿宋_GB2312"/>
          <w:b/>
          <w:sz w:val="24"/>
          <w:highlight w:val="none"/>
        </w:rPr>
        <w:t>【政府采购合同专用条款】</w:t>
      </w:r>
      <w:r>
        <w:rPr>
          <w:rFonts w:hint="eastAsia" w:ascii="仿宋_GB2312" w:hAnsi="仿宋_GB2312" w:eastAsia="仿宋_GB2312" w:cs="仿宋_GB2312"/>
          <w:bCs/>
          <w:sz w:val="24"/>
          <w:highlight w:val="none"/>
        </w:rPr>
        <w:t>要求</w:t>
      </w:r>
      <w:r>
        <w:rPr>
          <w:rFonts w:hint="eastAsia" w:ascii="仿宋_GB2312" w:hAnsi="仿宋_GB2312" w:eastAsia="仿宋_GB2312" w:cs="仿宋_GB2312"/>
          <w:sz w:val="24"/>
          <w:highlight w:val="none"/>
        </w:rPr>
        <w:t>及时修理、重作、更换，并承担由此给甲方造成的损失。</w:t>
      </w:r>
    </w:p>
    <w:p w14:paraId="33723B5C">
      <w:pPr>
        <w:keepLines w:val="0"/>
        <w:pageBreakBefore w:val="0"/>
        <w:kinsoku/>
        <w:wordWrap/>
        <w:overflowPunct/>
        <w:topLinePunct w:val="0"/>
        <w:autoSpaceDE w:val="0"/>
        <w:autoSpaceDN w:val="0"/>
        <w:bidi w:val="0"/>
        <w:adjustRightInd w:val="0"/>
        <w:snapToGrid w:val="0"/>
        <w:spacing w:line="360" w:lineRule="exact"/>
        <w:ind w:firstLine="480" w:firstLineChars="200"/>
        <w:jc w:val="left"/>
        <w:textAlignment w:val="auto"/>
        <w:rPr>
          <w:rFonts w:ascii="仿宋_GB2312" w:hAnsi="仿宋_GB2312" w:eastAsia="仿宋_GB2312" w:cs="仿宋_GB2312"/>
          <w:bCs/>
          <w:sz w:val="24"/>
          <w:highlight w:val="none"/>
        </w:rPr>
      </w:pPr>
      <w:r>
        <w:rPr>
          <w:rFonts w:hint="eastAsia" w:ascii="仿宋_GB2312" w:hAnsi="仿宋_GB2312" w:eastAsia="仿宋_GB2312" w:cs="仿宋_GB2312"/>
          <w:bCs/>
          <w:sz w:val="24"/>
          <w:highlight w:val="none"/>
        </w:rPr>
        <w:t>15.2 迟延交货的违约责任</w:t>
      </w:r>
    </w:p>
    <w:p w14:paraId="1CFD2015">
      <w:pPr>
        <w:keepLines w:val="0"/>
        <w:pageBreakBefore w:val="0"/>
        <w:kinsoku/>
        <w:wordWrap/>
        <w:overflowPunct/>
        <w:topLinePunct w:val="0"/>
        <w:autoSpaceDE w:val="0"/>
        <w:autoSpaceDN w:val="0"/>
        <w:bidi w:val="0"/>
        <w:adjustRightInd w:val="0"/>
        <w:snapToGrid w:val="0"/>
        <w:spacing w:line="360" w:lineRule="exact"/>
        <w:ind w:firstLine="480" w:firstLineChars="200"/>
        <w:jc w:val="left"/>
        <w:textAlignment w:val="auto"/>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14:paraId="0A9B618F">
      <w:pPr>
        <w:keepLines w:val="0"/>
        <w:pageBreakBefore w:val="0"/>
        <w:kinsoku/>
        <w:wordWrap/>
        <w:overflowPunct/>
        <w:topLinePunct w:val="0"/>
        <w:autoSpaceDE w:val="0"/>
        <w:autoSpaceDN w:val="0"/>
        <w:bidi w:val="0"/>
        <w:adjustRightInd w:val="0"/>
        <w:snapToGrid w:val="0"/>
        <w:spacing w:line="360" w:lineRule="exact"/>
        <w:ind w:firstLine="480" w:firstLineChars="200"/>
        <w:jc w:val="left"/>
        <w:textAlignment w:val="auto"/>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（2）如果乙方没有按照合同规定的时间交货和提供相关服务，甲方有权从货款中扣除误期赔偿费而不影响合同项下的其他补救方法，赔偿费按</w:t>
      </w:r>
      <w:r>
        <w:rPr>
          <w:rFonts w:hint="eastAsia" w:ascii="仿宋_GB2312" w:hAnsi="仿宋_GB2312" w:eastAsia="仿宋_GB2312" w:cs="仿宋_GB2312"/>
          <w:b/>
          <w:sz w:val="24"/>
          <w:highlight w:val="none"/>
        </w:rPr>
        <w:t>【政府采购合同专用条款】</w:t>
      </w:r>
      <w:r>
        <w:rPr>
          <w:rFonts w:hint="eastAsia" w:ascii="仿宋_GB2312" w:hAnsi="仿宋_GB2312" w:eastAsia="仿宋_GB2312" w:cs="仿宋_GB2312"/>
          <w:sz w:val="24"/>
          <w:highlight w:val="none"/>
        </w:rPr>
        <w:t>规定执行。如果涉及公共利益，且赔偿金额无法弥补公共利益损失，甲方可要求继续履行或者采取其他补救措施。</w:t>
      </w:r>
    </w:p>
    <w:p w14:paraId="50773A0A">
      <w:pPr>
        <w:keepLines w:val="0"/>
        <w:pageBreakBefore w:val="0"/>
        <w:kinsoku/>
        <w:wordWrap/>
        <w:overflowPunct/>
        <w:topLinePunct w:val="0"/>
        <w:autoSpaceDE w:val="0"/>
        <w:autoSpaceDN w:val="0"/>
        <w:bidi w:val="0"/>
        <w:adjustRightInd w:val="0"/>
        <w:snapToGrid w:val="0"/>
        <w:spacing w:line="360" w:lineRule="exact"/>
        <w:ind w:firstLine="480" w:firstLineChars="200"/>
        <w:jc w:val="left"/>
        <w:textAlignment w:val="auto"/>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15.3 迟延支付的违约责任</w:t>
      </w:r>
    </w:p>
    <w:p w14:paraId="16AC4E18">
      <w:pPr>
        <w:keepLines w:val="0"/>
        <w:pageBreakBefore w:val="0"/>
        <w:kinsoku/>
        <w:wordWrap/>
        <w:overflowPunct/>
        <w:topLinePunct w:val="0"/>
        <w:autoSpaceDE w:val="0"/>
        <w:autoSpaceDN w:val="0"/>
        <w:bidi w:val="0"/>
        <w:adjustRightInd w:val="0"/>
        <w:snapToGrid w:val="0"/>
        <w:spacing w:line="360" w:lineRule="exact"/>
        <w:ind w:firstLine="480" w:firstLineChars="200"/>
        <w:jc w:val="left"/>
        <w:textAlignment w:val="auto"/>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甲方存在迟延支付乙方合同款项的，应当承担</w:t>
      </w:r>
      <w:r>
        <w:rPr>
          <w:rFonts w:hint="eastAsia" w:ascii="仿宋_GB2312" w:hAnsi="仿宋_GB2312" w:eastAsia="仿宋_GB2312" w:cs="仿宋_GB2312"/>
          <w:b/>
          <w:bCs/>
          <w:sz w:val="24"/>
          <w:highlight w:val="none"/>
        </w:rPr>
        <w:t>【政府采购合同专用条款】</w:t>
      </w:r>
      <w:r>
        <w:rPr>
          <w:rFonts w:hint="eastAsia" w:ascii="仿宋_GB2312" w:hAnsi="仿宋_GB2312" w:eastAsia="仿宋_GB2312" w:cs="仿宋_GB2312"/>
          <w:sz w:val="24"/>
          <w:highlight w:val="none"/>
        </w:rPr>
        <w:t>规定的逾期付款利息。</w:t>
      </w:r>
    </w:p>
    <w:p w14:paraId="4BE45057">
      <w:pPr>
        <w:keepLines w:val="0"/>
        <w:pageBreakBefore w:val="0"/>
        <w:kinsoku/>
        <w:wordWrap/>
        <w:overflowPunct/>
        <w:topLinePunct w:val="0"/>
        <w:bidi w:val="0"/>
        <w:adjustRightInd w:val="0"/>
        <w:snapToGrid w:val="0"/>
        <w:spacing w:line="360" w:lineRule="exact"/>
        <w:ind w:firstLine="480" w:firstLineChars="200"/>
        <w:jc w:val="left"/>
        <w:textAlignment w:val="auto"/>
        <w:rPr>
          <w:rFonts w:ascii="仿宋_GB2312" w:hAnsi="仿宋_GB2312" w:eastAsia="仿宋_GB2312" w:cs="仿宋_GB2312"/>
          <w:sz w:val="24"/>
          <w:highlight w:val="none"/>
        </w:rPr>
      </w:pPr>
      <w:r>
        <w:rPr>
          <w:rFonts w:hint="eastAsia" w:ascii="仿宋_GB2312" w:hAnsi="仿宋_GB2312" w:eastAsia="仿宋_GB2312" w:cs="仿宋_GB2312"/>
          <w:bCs/>
          <w:sz w:val="24"/>
          <w:highlight w:val="none"/>
        </w:rPr>
        <w:t>15.4其他违约责任根据项目实际需要按</w:t>
      </w:r>
      <w:r>
        <w:rPr>
          <w:rFonts w:hint="eastAsia" w:ascii="仿宋_GB2312" w:hAnsi="仿宋_GB2312" w:eastAsia="仿宋_GB2312" w:cs="仿宋_GB2312"/>
          <w:b/>
          <w:bCs/>
          <w:sz w:val="24"/>
          <w:highlight w:val="none"/>
        </w:rPr>
        <w:t>【政府采购合同专用条款】</w:t>
      </w:r>
      <w:r>
        <w:rPr>
          <w:rFonts w:hint="eastAsia" w:ascii="仿宋_GB2312" w:hAnsi="仿宋_GB2312" w:eastAsia="仿宋_GB2312" w:cs="仿宋_GB2312"/>
          <w:sz w:val="24"/>
          <w:highlight w:val="none"/>
        </w:rPr>
        <w:t>规定执行。</w:t>
      </w:r>
    </w:p>
    <w:p w14:paraId="3FFC5D61">
      <w:pPr>
        <w:keepLines w:val="0"/>
        <w:pageBreakBefore w:val="0"/>
        <w:numPr>
          <w:ilvl w:val="0"/>
          <w:numId w:val="7"/>
        </w:numPr>
        <w:kinsoku/>
        <w:wordWrap/>
        <w:overflowPunct/>
        <w:topLinePunct w:val="0"/>
        <w:autoSpaceDE w:val="0"/>
        <w:autoSpaceDN w:val="0"/>
        <w:bidi w:val="0"/>
        <w:adjustRightInd w:val="0"/>
        <w:snapToGrid w:val="0"/>
        <w:spacing w:line="360" w:lineRule="exact"/>
        <w:jc w:val="left"/>
        <w:textAlignment w:val="auto"/>
        <w:rPr>
          <w:rFonts w:ascii="仿宋_GB2312" w:hAnsi="仿宋_GB2312" w:eastAsia="仿宋_GB2312" w:cs="仿宋_GB2312"/>
          <w:b/>
          <w:sz w:val="24"/>
          <w:highlight w:val="none"/>
        </w:rPr>
      </w:pPr>
      <w:r>
        <w:rPr>
          <w:rFonts w:hint="eastAsia" w:ascii="仿宋_GB2312" w:hAnsi="仿宋_GB2312" w:eastAsia="仿宋_GB2312" w:cs="仿宋_GB2312"/>
          <w:b/>
          <w:sz w:val="24"/>
          <w:highlight w:val="none"/>
        </w:rPr>
        <w:t>合同变更、中止与终止</w:t>
      </w:r>
    </w:p>
    <w:p w14:paraId="0BF1154D">
      <w:pPr>
        <w:keepLines w:val="0"/>
        <w:pageBreakBefore w:val="0"/>
        <w:kinsoku/>
        <w:wordWrap/>
        <w:overflowPunct/>
        <w:topLinePunct w:val="0"/>
        <w:bidi w:val="0"/>
        <w:adjustRightInd w:val="0"/>
        <w:snapToGrid w:val="0"/>
        <w:spacing w:line="360" w:lineRule="exact"/>
        <w:jc w:val="left"/>
        <w:textAlignment w:val="auto"/>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 xml:space="preserve">    16.1合同的变更</w:t>
      </w:r>
    </w:p>
    <w:p w14:paraId="05A3DC44">
      <w:pPr>
        <w:keepLines w:val="0"/>
        <w:pageBreakBefore w:val="0"/>
        <w:kinsoku/>
        <w:wordWrap/>
        <w:overflowPunct/>
        <w:topLinePunct w:val="0"/>
        <w:autoSpaceDE w:val="0"/>
        <w:autoSpaceDN w:val="0"/>
        <w:bidi w:val="0"/>
        <w:adjustRightInd w:val="0"/>
        <w:snapToGrid w:val="0"/>
        <w:spacing w:line="360" w:lineRule="exact"/>
        <w:ind w:firstLine="480" w:firstLineChars="200"/>
        <w:jc w:val="left"/>
        <w:textAlignment w:val="auto"/>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政府采购合同履行中，在不改变合同其他条款的前提下，甲方可以在合同价款10%的范围内追加与合同标的相同的货物，并就此与乙方协商一致后签订补充协议。</w:t>
      </w:r>
    </w:p>
    <w:p w14:paraId="2976C9F9">
      <w:pPr>
        <w:keepLines w:val="0"/>
        <w:pageBreakBefore w:val="0"/>
        <w:kinsoku/>
        <w:wordWrap/>
        <w:overflowPunct/>
        <w:topLinePunct w:val="0"/>
        <w:bidi w:val="0"/>
        <w:adjustRightInd w:val="0"/>
        <w:snapToGrid w:val="0"/>
        <w:spacing w:line="360" w:lineRule="exact"/>
        <w:ind w:firstLine="480" w:firstLineChars="200"/>
        <w:jc w:val="left"/>
        <w:textAlignment w:val="auto"/>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16.2合同的中止</w:t>
      </w:r>
    </w:p>
    <w:p w14:paraId="135D00A9">
      <w:pPr>
        <w:keepLines w:val="0"/>
        <w:pageBreakBefore w:val="0"/>
        <w:kinsoku/>
        <w:wordWrap/>
        <w:overflowPunct/>
        <w:topLinePunct w:val="0"/>
        <w:autoSpaceDE w:val="0"/>
        <w:autoSpaceDN w:val="0"/>
        <w:bidi w:val="0"/>
        <w:adjustRightInd w:val="0"/>
        <w:snapToGrid w:val="0"/>
        <w:spacing w:line="360" w:lineRule="exact"/>
        <w:ind w:firstLine="480" w:firstLineChars="200"/>
        <w:jc w:val="left"/>
        <w:textAlignment w:val="auto"/>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（1）合同履行过程中因供应商就采购文件、采购过程或结果提起投诉的，甲方认为有必要的，可以中止合同的履行。</w:t>
      </w:r>
    </w:p>
    <w:p w14:paraId="357A09E5">
      <w:pPr>
        <w:keepLines w:val="0"/>
        <w:pageBreakBefore w:val="0"/>
        <w:kinsoku/>
        <w:wordWrap/>
        <w:overflowPunct/>
        <w:topLinePunct w:val="0"/>
        <w:autoSpaceDE w:val="0"/>
        <w:autoSpaceDN w:val="0"/>
        <w:bidi w:val="0"/>
        <w:adjustRightInd w:val="0"/>
        <w:snapToGrid w:val="0"/>
        <w:spacing w:line="360" w:lineRule="exact"/>
        <w:ind w:firstLine="480" w:firstLineChars="200"/>
        <w:jc w:val="left"/>
        <w:textAlignment w:val="auto"/>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14:paraId="51CCDB8C">
      <w:pPr>
        <w:pStyle w:val="21"/>
        <w:keepLines w:val="0"/>
        <w:pageBreakBefore w:val="0"/>
        <w:kinsoku/>
        <w:wordWrap/>
        <w:overflowPunct/>
        <w:topLinePunct w:val="0"/>
        <w:bidi w:val="0"/>
        <w:spacing w:line="360" w:lineRule="exact"/>
        <w:ind w:firstLine="480"/>
        <w:jc w:val="both"/>
        <w:textAlignment w:val="auto"/>
        <w:rPr>
          <w:rFonts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（3）乙方分立、合并或者变更住所的，应当及时以书面形式告知甲方。乙方没有及时告知甲方，致使合同履行发生困难的，甲方可以中止合同履行并要求乙方承担由此给甲方造成的损失。</w:t>
      </w:r>
    </w:p>
    <w:p w14:paraId="0948F707">
      <w:pPr>
        <w:keepLines w:val="0"/>
        <w:pageBreakBefore w:val="0"/>
        <w:kinsoku/>
        <w:wordWrap/>
        <w:overflowPunct/>
        <w:topLinePunct w:val="0"/>
        <w:bidi w:val="0"/>
        <w:snapToGrid w:val="0"/>
        <w:spacing w:line="360" w:lineRule="exact"/>
        <w:ind w:firstLine="480" w:firstLineChars="200"/>
        <w:jc w:val="left"/>
        <w:textAlignment w:val="auto"/>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（4）甲方不得以行政区划调整、政府换届、机构或者职能调整以及相关责任人更替为由中止合同。</w:t>
      </w:r>
    </w:p>
    <w:p w14:paraId="513D7EBF">
      <w:pPr>
        <w:keepLines w:val="0"/>
        <w:pageBreakBefore w:val="0"/>
        <w:kinsoku/>
        <w:wordWrap/>
        <w:overflowPunct/>
        <w:topLinePunct w:val="0"/>
        <w:bidi w:val="0"/>
        <w:adjustRightInd w:val="0"/>
        <w:snapToGrid w:val="0"/>
        <w:spacing w:line="360" w:lineRule="exact"/>
        <w:ind w:firstLine="480" w:firstLineChars="200"/>
        <w:jc w:val="left"/>
        <w:textAlignment w:val="auto"/>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16.3合同的终止</w:t>
      </w:r>
    </w:p>
    <w:p w14:paraId="4E701082">
      <w:pPr>
        <w:keepLines w:val="0"/>
        <w:pageBreakBefore w:val="0"/>
        <w:kinsoku/>
        <w:wordWrap/>
        <w:overflowPunct/>
        <w:topLinePunct w:val="0"/>
        <w:autoSpaceDE w:val="0"/>
        <w:autoSpaceDN w:val="0"/>
        <w:bidi w:val="0"/>
        <w:adjustRightInd w:val="0"/>
        <w:snapToGrid w:val="0"/>
        <w:spacing w:line="360" w:lineRule="exact"/>
        <w:ind w:firstLine="480" w:firstLineChars="200"/>
        <w:jc w:val="left"/>
        <w:textAlignment w:val="auto"/>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（1）合同因有效期限届满而终止；</w:t>
      </w:r>
    </w:p>
    <w:p w14:paraId="23097B8B">
      <w:pPr>
        <w:keepLines w:val="0"/>
        <w:pageBreakBefore w:val="0"/>
        <w:kinsoku/>
        <w:wordWrap/>
        <w:overflowPunct/>
        <w:topLinePunct w:val="0"/>
        <w:bidi w:val="0"/>
        <w:snapToGrid w:val="0"/>
        <w:spacing w:line="360" w:lineRule="exact"/>
        <w:ind w:firstLine="480" w:firstLineChars="200"/>
        <w:textAlignment w:val="auto"/>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（2）乙方未按合同约定履行，构成根本性违约的，甲方有权终止合同，并追究乙方的违约责任。</w:t>
      </w:r>
    </w:p>
    <w:p w14:paraId="5DF70CBC">
      <w:pPr>
        <w:pStyle w:val="21"/>
        <w:keepLines w:val="0"/>
        <w:pageBreakBefore w:val="0"/>
        <w:kinsoku/>
        <w:wordWrap/>
        <w:overflowPunct/>
        <w:topLinePunct w:val="0"/>
        <w:bidi w:val="0"/>
        <w:spacing w:line="360" w:lineRule="exact"/>
        <w:ind w:firstLine="480"/>
        <w:textAlignment w:val="auto"/>
        <w:rPr>
          <w:rFonts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 xml:space="preserve">16.4 </w:t>
      </w:r>
      <w:r>
        <w:rPr>
          <w:rFonts w:hint="eastAsia" w:ascii="仿宋_GB2312" w:hAnsi="仿宋_GB2312" w:eastAsia="仿宋_GB2312" w:cs="仿宋_GB2312"/>
          <w:kern w:val="2"/>
          <w:sz w:val="24"/>
          <w:szCs w:val="24"/>
          <w:highlight w:val="none"/>
        </w:rPr>
        <w:t>涉及国家利益、社会公共利益的情形</w:t>
      </w:r>
    </w:p>
    <w:p w14:paraId="47339857">
      <w:pPr>
        <w:pStyle w:val="21"/>
        <w:keepLines w:val="0"/>
        <w:pageBreakBefore w:val="0"/>
        <w:kinsoku/>
        <w:wordWrap/>
        <w:overflowPunct/>
        <w:topLinePunct w:val="0"/>
        <w:bidi w:val="0"/>
        <w:spacing w:line="360" w:lineRule="exact"/>
        <w:ind w:firstLine="480"/>
        <w:jc w:val="both"/>
        <w:textAlignment w:val="auto"/>
        <w:rPr>
          <w:rFonts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政府采购合同继续履行将损害国家利益和社会公共利益的，双方当事人应当变更、中止或者终止合同。有过错的一方应当承担赔偿责任，双方都有过错的，各自承担相应的责任。</w:t>
      </w:r>
    </w:p>
    <w:p w14:paraId="3FAA938D">
      <w:pPr>
        <w:keepLines w:val="0"/>
        <w:pageBreakBefore w:val="0"/>
        <w:kinsoku/>
        <w:wordWrap/>
        <w:overflowPunct/>
        <w:topLinePunct w:val="0"/>
        <w:autoSpaceDE w:val="0"/>
        <w:autoSpaceDN w:val="0"/>
        <w:bidi w:val="0"/>
        <w:adjustRightInd w:val="0"/>
        <w:snapToGrid w:val="0"/>
        <w:spacing w:line="360" w:lineRule="exact"/>
        <w:jc w:val="left"/>
        <w:textAlignment w:val="auto"/>
        <w:rPr>
          <w:rFonts w:ascii="仿宋_GB2312" w:hAnsi="仿宋_GB2312" w:eastAsia="仿宋_GB2312" w:cs="仿宋_GB2312"/>
          <w:b/>
          <w:bCs/>
          <w:sz w:val="24"/>
          <w:highlight w:val="none"/>
        </w:rPr>
      </w:pPr>
      <w:r>
        <w:rPr>
          <w:rFonts w:hint="eastAsia" w:ascii="仿宋_GB2312" w:hAnsi="仿宋_GB2312" w:eastAsia="仿宋_GB2312" w:cs="仿宋_GB2312"/>
          <w:b/>
          <w:bCs/>
          <w:sz w:val="24"/>
          <w:highlight w:val="none"/>
        </w:rPr>
        <w:t>17. 合同分包</w:t>
      </w:r>
    </w:p>
    <w:p w14:paraId="17B5745E">
      <w:pPr>
        <w:keepLines w:val="0"/>
        <w:pageBreakBefore w:val="0"/>
        <w:kinsoku/>
        <w:wordWrap/>
        <w:overflowPunct/>
        <w:topLinePunct w:val="0"/>
        <w:autoSpaceDE w:val="0"/>
        <w:autoSpaceDN w:val="0"/>
        <w:bidi w:val="0"/>
        <w:adjustRightInd w:val="0"/>
        <w:snapToGrid w:val="0"/>
        <w:spacing w:line="360" w:lineRule="exact"/>
        <w:ind w:firstLine="480" w:firstLineChars="200"/>
        <w:jc w:val="left"/>
        <w:textAlignment w:val="auto"/>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17.1 乙方不得将合同转包给其他供应商。涉及合同分包的，乙方应根据采购文件和投标（响应）文件规定进行合同分包。</w:t>
      </w:r>
    </w:p>
    <w:p w14:paraId="5F17BD12">
      <w:pPr>
        <w:keepLines w:val="0"/>
        <w:pageBreakBefore w:val="0"/>
        <w:kinsoku/>
        <w:wordWrap/>
        <w:overflowPunct/>
        <w:topLinePunct w:val="0"/>
        <w:autoSpaceDE w:val="0"/>
        <w:autoSpaceDN w:val="0"/>
        <w:bidi w:val="0"/>
        <w:adjustRightInd w:val="0"/>
        <w:snapToGrid w:val="0"/>
        <w:spacing w:line="360" w:lineRule="exact"/>
        <w:ind w:firstLine="480" w:firstLineChars="200"/>
        <w:jc w:val="left"/>
        <w:textAlignment w:val="auto"/>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17.2 乙方执行政府采购政策向中小企业依法分包的，乙方应当按采购文件和投标（响应）文件签订分包意向协议，分包意向协议属于本合同组成部分。</w:t>
      </w:r>
    </w:p>
    <w:p w14:paraId="73658BDC">
      <w:pPr>
        <w:keepLines w:val="0"/>
        <w:pageBreakBefore w:val="0"/>
        <w:kinsoku/>
        <w:wordWrap/>
        <w:overflowPunct/>
        <w:topLinePunct w:val="0"/>
        <w:autoSpaceDE w:val="0"/>
        <w:autoSpaceDN w:val="0"/>
        <w:bidi w:val="0"/>
        <w:adjustRightInd w:val="0"/>
        <w:snapToGrid w:val="0"/>
        <w:spacing w:line="360" w:lineRule="exact"/>
        <w:jc w:val="left"/>
        <w:textAlignment w:val="auto"/>
        <w:rPr>
          <w:rFonts w:ascii="仿宋_GB2312" w:hAnsi="仿宋_GB2312" w:eastAsia="仿宋_GB2312" w:cs="仿宋_GB2312"/>
          <w:b/>
          <w:bCs/>
          <w:sz w:val="24"/>
          <w:highlight w:val="none"/>
        </w:rPr>
      </w:pPr>
      <w:r>
        <w:rPr>
          <w:rFonts w:hint="eastAsia" w:ascii="仿宋_GB2312" w:hAnsi="仿宋_GB2312" w:eastAsia="仿宋_GB2312" w:cs="仿宋_GB2312"/>
          <w:b/>
          <w:bCs/>
          <w:sz w:val="24"/>
          <w:highlight w:val="none"/>
        </w:rPr>
        <w:t>18. 不可抗力</w:t>
      </w:r>
    </w:p>
    <w:p w14:paraId="659D3308">
      <w:pPr>
        <w:keepLines w:val="0"/>
        <w:pageBreakBefore w:val="0"/>
        <w:kinsoku/>
        <w:wordWrap/>
        <w:overflowPunct/>
        <w:topLinePunct w:val="0"/>
        <w:autoSpaceDE w:val="0"/>
        <w:autoSpaceDN w:val="0"/>
        <w:bidi w:val="0"/>
        <w:adjustRightInd w:val="0"/>
        <w:snapToGrid w:val="0"/>
        <w:spacing w:line="360" w:lineRule="exact"/>
        <w:ind w:firstLine="480" w:firstLineChars="200"/>
        <w:jc w:val="left"/>
        <w:textAlignment w:val="auto"/>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18.1 不可抗力是指合同双方不能预见、不能避免且不能克服的客观情况。</w:t>
      </w:r>
    </w:p>
    <w:p w14:paraId="6469C9C1">
      <w:pPr>
        <w:keepLines w:val="0"/>
        <w:pageBreakBefore w:val="0"/>
        <w:kinsoku/>
        <w:wordWrap/>
        <w:overflowPunct/>
        <w:topLinePunct w:val="0"/>
        <w:autoSpaceDE w:val="0"/>
        <w:autoSpaceDN w:val="0"/>
        <w:bidi w:val="0"/>
        <w:adjustRightInd w:val="0"/>
        <w:snapToGrid w:val="0"/>
        <w:spacing w:line="360" w:lineRule="exact"/>
        <w:ind w:firstLine="480" w:firstLineChars="200"/>
        <w:jc w:val="left"/>
        <w:textAlignment w:val="auto"/>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18.2 任何一方对由于不可抗力造成的部分或全部不能履行合同不承担违约责任。但迟延履行后发生不可抗力的，不能免除责任。</w:t>
      </w:r>
    </w:p>
    <w:p w14:paraId="051B3A76">
      <w:pPr>
        <w:keepLines w:val="0"/>
        <w:pageBreakBefore w:val="0"/>
        <w:kinsoku/>
        <w:wordWrap/>
        <w:overflowPunct/>
        <w:topLinePunct w:val="0"/>
        <w:autoSpaceDE w:val="0"/>
        <w:autoSpaceDN w:val="0"/>
        <w:bidi w:val="0"/>
        <w:adjustRightInd w:val="0"/>
        <w:snapToGrid w:val="0"/>
        <w:spacing w:line="360" w:lineRule="exact"/>
        <w:ind w:firstLine="480" w:firstLineChars="200"/>
        <w:jc w:val="left"/>
        <w:textAlignment w:val="auto"/>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14:paraId="3094258E">
      <w:pPr>
        <w:keepLines w:val="0"/>
        <w:pageBreakBefore w:val="0"/>
        <w:kinsoku/>
        <w:wordWrap/>
        <w:overflowPunct/>
        <w:topLinePunct w:val="0"/>
        <w:autoSpaceDE w:val="0"/>
        <w:autoSpaceDN w:val="0"/>
        <w:bidi w:val="0"/>
        <w:adjustRightInd w:val="0"/>
        <w:snapToGrid w:val="0"/>
        <w:spacing w:line="360" w:lineRule="exact"/>
        <w:jc w:val="left"/>
        <w:textAlignment w:val="auto"/>
        <w:rPr>
          <w:rFonts w:ascii="仿宋_GB2312" w:hAnsi="仿宋_GB2312" w:eastAsia="仿宋_GB2312" w:cs="仿宋_GB2312"/>
          <w:b/>
          <w:bCs/>
          <w:sz w:val="24"/>
          <w:highlight w:val="none"/>
        </w:rPr>
      </w:pPr>
      <w:r>
        <w:rPr>
          <w:rFonts w:hint="eastAsia" w:ascii="仿宋_GB2312" w:hAnsi="仿宋_GB2312" w:eastAsia="仿宋_GB2312" w:cs="仿宋_GB2312"/>
          <w:b/>
          <w:bCs/>
          <w:sz w:val="24"/>
          <w:highlight w:val="none"/>
        </w:rPr>
        <w:t>19. 解决争议的方法</w:t>
      </w:r>
    </w:p>
    <w:p w14:paraId="3DC7EED6">
      <w:pPr>
        <w:pStyle w:val="21"/>
        <w:keepLines w:val="0"/>
        <w:pageBreakBefore w:val="0"/>
        <w:kinsoku/>
        <w:wordWrap/>
        <w:overflowPunct/>
        <w:topLinePunct w:val="0"/>
        <w:bidi w:val="0"/>
        <w:spacing w:line="360" w:lineRule="exact"/>
        <w:ind w:firstLine="480"/>
        <w:jc w:val="both"/>
        <w:textAlignment w:val="auto"/>
        <w:rPr>
          <w:rFonts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19.1 因本合同及合同有关事项发生的争议，由甲乙双方友好协商解决。协商不成时，可以向有关组织申请调解。合同一方或双方不愿调解或调解不成的，可以通过仲裁或诉讼的方式解决争议。</w:t>
      </w:r>
    </w:p>
    <w:p w14:paraId="06771C29">
      <w:pPr>
        <w:pStyle w:val="21"/>
        <w:keepLines w:val="0"/>
        <w:pageBreakBefore w:val="0"/>
        <w:kinsoku/>
        <w:wordWrap/>
        <w:overflowPunct/>
        <w:topLinePunct w:val="0"/>
        <w:bidi w:val="0"/>
        <w:spacing w:line="360" w:lineRule="exact"/>
        <w:ind w:firstLine="480"/>
        <w:jc w:val="both"/>
        <w:textAlignment w:val="auto"/>
        <w:rPr>
          <w:rFonts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19.2 选择仲裁的，应在</w:t>
      </w:r>
      <w:r>
        <w:rPr>
          <w:rFonts w:hint="eastAsia" w:ascii="仿宋_GB2312" w:hAnsi="仿宋_GB2312" w:eastAsia="仿宋_GB2312" w:cs="仿宋_GB2312"/>
          <w:b/>
          <w:bCs/>
          <w:sz w:val="24"/>
          <w:szCs w:val="24"/>
          <w:highlight w:val="none"/>
        </w:rPr>
        <w:t>【政府采购合同专用条款】</w:t>
      </w:r>
      <w:r>
        <w:rPr>
          <w:rFonts w:hint="eastAsia" w:ascii="仿宋_GB2312" w:hAnsi="仿宋_GB2312" w:eastAsia="仿宋_GB2312" w:cs="仿宋_GB2312"/>
          <w:sz w:val="24"/>
          <w:szCs w:val="24"/>
          <w:highlight w:val="none"/>
        </w:rPr>
        <w:t>中明确仲裁机构及仲裁地；通过诉讼方式解决的，可以在</w:t>
      </w:r>
      <w:r>
        <w:rPr>
          <w:rFonts w:hint="eastAsia" w:ascii="仿宋_GB2312" w:hAnsi="仿宋_GB2312" w:eastAsia="仿宋_GB2312" w:cs="仿宋_GB2312"/>
          <w:b/>
          <w:bCs/>
          <w:sz w:val="24"/>
          <w:szCs w:val="24"/>
          <w:highlight w:val="none"/>
        </w:rPr>
        <w:t>【政府采购合同专用条款】</w:t>
      </w:r>
      <w:r>
        <w:rPr>
          <w:rFonts w:hint="eastAsia" w:ascii="仿宋_GB2312" w:hAnsi="仿宋_GB2312" w:eastAsia="仿宋_GB2312" w:cs="仿宋_GB2312"/>
          <w:sz w:val="24"/>
          <w:szCs w:val="24"/>
          <w:highlight w:val="none"/>
        </w:rPr>
        <w:t>中进一步约定选择与争议有实际联系的地点的人民法院管辖，但管辖法院的约定不得违反级别管辖和专属管辖的规定。</w:t>
      </w:r>
    </w:p>
    <w:p w14:paraId="7FF40A6E">
      <w:pPr>
        <w:pStyle w:val="21"/>
        <w:keepLines w:val="0"/>
        <w:pageBreakBefore w:val="0"/>
        <w:kinsoku/>
        <w:wordWrap/>
        <w:overflowPunct/>
        <w:topLinePunct w:val="0"/>
        <w:bidi w:val="0"/>
        <w:spacing w:line="360" w:lineRule="exact"/>
        <w:ind w:firstLine="480"/>
        <w:jc w:val="both"/>
        <w:textAlignment w:val="auto"/>
        <w:rPr>
          <w:rFonts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19.3 如甲乙双方有争议的事项不影响合同其他部分的履行，在争议解决期间，合同其他部分应当继续履行。</w:t>
      </w:r>
    </w:p>
    <w:p w14:paraId="33EE9773">
      <w:pPr>
        <w:keepLines w:val="0"/>
        <w:pageBreakBefore w:val="0"/>
        <w:kinsoku/>
        <w:wordWrap/>
        <w:overflowPunct/>
        <w:topLinePunct w:val="0"/>
        <w:autoSpaceDE w:val="0"/>
        <w:autoSpaceDN w:val="0"/>
        <w:bidi w:val="0"/>
        <w:adjustRightInd w:val="0"/>
        <w:snapToGrid w:val="0"/>
        <w:spacing w:line="360" w:lineRule="exact"/>
        <w:jc w:val="left"/>
        <w:textAlignment w:val="auto"/>
        <w:rPr>
          <w:rFonts w:ascii="仿宋_GB2312" w:hAnsi="仿宋_GB2312" w:eastAsia="仿宋_GB2312" w:cs="仿宋_GB2312"/>
          <w:sz w:val="24"/>
          <w:highlight w:val="none"/>
        </w:rPr>
      </w:pPr>
      <w:r>
        <w:rPr>
          <w:rFonts w:hint="eastAsia" w:ascii="仿宋_GB2312" w:hAnsi="仿宋_GB2312" w:eastAsia="仿宋_GB2312" w:cs="仿宋_GB2312"/>
          <w:b/>
          <w:sz w:val="24"/>
          <w:highlight w:val="none"/>
        </w:rPr>
        <w:t>20. 政府采购政策</w:t>
      </w:r>
    </w:p>
    <w:p w14:paraId="2C18F1BF">
      <w:pPr>
        <w:keepLines w:val="0"/>
        <w:pageBreakBefore w:val="0"/>
        <w:kinsoku/>
        <w:wordWrap/>
        <w:overflowPunct/>
        <w:topLinePunct w:val="0"/>
        <w:autoSpaceDE w:val="0"/>
        <w:autoSpaceDN w:val="0"/>
        <w:bidi w:val="0"/>
        <w:adjustRightInd w:val="0"/>
        <w:snapToGrid w:val="0"/>
        <w:spacing w:line="360" w:lineRule="exact"/>
        <w:ind w:firstLine="480" w:firstLineChars="200"/>
        <w:jc w:val="left"/>
        <w:textAlignment w:val="auto"/>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 xml:space="preserve">20.1 </w:t>
      </w:r>
      <w:r>
        <w:rPr>
          <w:rFonts w:hint="eastAsia" w:ascii="仿宋_GB2312" w:hAnsi="仿宋_GB2312" w:eastAsia="仿宋_GB2312" w:cs="仿宋_GB2312"/>
          <w:sz w:val="24"/>
          <w:highlight w:val="none"/>
          <w:lang w:val="en-GB"/>
        </w:rPr>
        <w:t>本合同应当按照规定执行政府采购政策。</w:t>
      </w:r>
    </w:p>
    <w:p w14:paraId="5E872B5A">
      <w:pPr>
        <w:keepLines w:val="0"/>
        <w:pageBreakBefore w:val="0"/>
        <w:kinsoku/>
        <w:wordWrap/>
        <w:overflowPunct/>
        <w:topLinePunct w:val="0"/>
        <w:autoSpaceDE w:val="0"/>
        <w:autoSpaceDN w:val="0"/>
        <w:bidi w:val="0"/>
        <w:adjustRightInd w:val="0"/>
        <w:snapToGrid w:val="0"/>
        <w:spacing w:line="360" w:lineRule="exact"/>
        <w:ind w:firstLine="480" w:firstLineChars="200"/>
        <w:jc w:val="left"/>
        <w:textAlignment w:val="auto"/>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20.2 本合同依法执行政府采购政策的方式和内容，属于合同履约验收的范围。甲乙双方</w:t>
      </w:r>
      <w:r>
        <w:rPr>
          <w:rFonts w:hint="eastAsia" w:ascii="仿宋_GB2312" w:hAnsi="仿宋_GB2312" w:eastAsia="仿宋_GB2312" w:cs="仿宋_GB2312"/>
          <w:sz w:val="24"/>
          <w:highlight w:val="none"/>
          <w:lang w:val="en-GB"/>
        </w:rPr>
        <w:t>未按规定要求执行政府采购政策造成损失的</w:t>
      </w:r>
      <w:r>
        <w:rPr>
          <w:rFonts w:hint="eastAsia" w:ascii="仿宋_GB2312" w:hAnsi="仿宋_GB2312" w:eastAsia="仿宋_GB2312" w:cs="仿宋_GB2312"/>
          <w:sz w:val="24"/>
          <w:highlight w:val="none"/>
        </w:rPr>
        <w:t>，有过错的一方应当承担赔偿责任，双方都有过错的，各自承担相应的责任。</w:t>
      </w:r>
    </w:p>
    <w:p w14:paraId="30BCD409">
      <w:pPr>
        <w:pStyle w:val="7"/>
        <w:keepLines w:val="0"/>
        <w:pageBreakBefore w:val="0"/>
        <w:kinsoku/>
        <w:wordWrap/>
        <w:overflowPunct/>
        <w:topLinePunct w:val="0"/>
        <w:bidi w:val="0"/>
        <w:spacing w:line="360" w:lineRule="exact"/>
        <w:ind w:firstLine="420" w:firstLineChars="200"/>
        <w:textAlignment w:val="auto"/>
        <w:rPr>
          <w:rFonts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20.3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591AF7E7">
      <w:pPr>
        <w:keepLines w:val="0"/>
        <w:pageBreakBefore w:val="0"/>
        <w:kinsoku/>
        <w:wordWrap/>
        <w:overflowPunct/>
        <w:topLinePunct w:val="0"/>
        <w:autoSpaceDE w:val="0"/>
        <w:autoSpaceDN w:val="0"/>
        <w:bidi w:val="0"/>
        <w:adjustRightInd w:val="0"/>
        <w:snapToGrid w:val="0"/>
        <w:spacing w:line="360" w:lineRule="exact"/>
        <w:jc w:val="left"/>
        <w:textAlignment w:val="auto"/>
        <w:rPr>
          <w:rFonts w:ascii="仿宋_GB2312" w:hAnsi="仿宋_GB2312" w:eastAsia="仿宋_GB2312" w:cs="仿宋_GB2312"/>
          <w:b/>
          <w:sz w:val="24"/>
          <w:highlight w:val="none"/>
        </w:rPr>
      </w:pPr>
      <w:r>
        <w:rPr>
          <w:rFonts w:hint="eastAsia" w:ascii="仿宋_GB2312" w:hAnsi="仿宋_GB2312" w:eastAsia="仿宋_GB2312" w:cs="仿宋_GB2312"/>
          <w:b/>
          <w:sz w:val="24"/>
          <w:highlight w:val="none"/>
        </w:rPr>
        <w:t>21. 法律适用</w:t>
      </w:r>
    </w:p>
    <w:p w14:paraId="59216BC5">
      <w:pPr>
        <w:pStyle w:val="21"/>
        <w:keepLines w:val="0"/>
        <w:pageBreakBefore w:val="0"/>
        <w:kinsoku/>
        <w:wordWrap/>
        <w:overflowPunct/>
        <w:topLinePunct w:val="0"/>
        <w:bidi w:val="0"/>
        <w:spacing w:line="360" w:lineRule="exact"/>
        <w:ind w:firstLine="480"/>
        <w:jc w:val="both"/>
        <w:textAlignment w:val="auto"/>
        <w:rPr>
          <w:rFonts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21.1 本合同的订立、生效、解释、履行及与本合同有关的争议解决，均适用法律、行政法规。</w:t>
      </w:r>
    </w:p>
    <w:p w14:paraId="0DF88F6B">
      <w:pPr>
        <w:pStyle w:val="21"/>
        <w:keepLines w:val="0"/>
        <w:pageBreakBefore w:val="0"/>
        <w:kinsoku/>
        <w:wordWrap/>
        <w:overflowPunct/>
        <w:topLinePunct w:val="0"/>
        <w:bidi w:val="0"/>
        <w:spacing w:line="360" w:lineRule="exact"/>
        <w:ind w:firstLine="480"/>
        <w:jc w:val="both"/>
        <w:textAlignment w:val="auto"/>
        <w:rPr>
          <w:rFonts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21.2 本合同条款与法律、行政法规的强制性规定不一致的，双方当事人应按照法律、行政法规的强制性规定修改本合同的相关条款。</w:t>
      </w:r>
    </w:p>
    <w:p w14:paraId="332B9F69">
      <w:pPr>
        <w:keepLines w:val="0"/>
        <w:pageBreakBefore w:val="0"/>
        <w:numPr>
          <w:ilvl w:val="255"/>
          <w:numId w:val="0"/>
        </w:numPr>
        <w:kinsoku/>
        <w:wordWrap/>
        <w:overflowPunct/>
        <w:topLinePunct w:val="0"/>
        <w:autoSpaceDE w:val="0"/>
        <w:autoSpaceDN w:val="0"/>
        <w:bidi w:val="0"/>
        <w:adjustRightInd w:val="0"/>
        <w:snapToGrid w:val="0"/>
        <w:spacing w:line="360" w:lineRule="exact"/>
        <w:jc w:val="left"/>
        <w:textAlignment w:val="auto"/>
        <w:rPr>
          <w:rFonts w:ascii="仿宋_GB2312" w:hAnsi="仿宋_GB2312" w:eastAsia="仿宋_GB2312" w:cs="仿宋_GB2312"/>
          <w:b/>
          <w:sz w:val="24"/>
          <w:highlight w:val="none"/>
        </w:rPr>
      </w:pPr>
      <w:r>
        <w:rPr>
          <w:rFonts w:hint="eastAsia" w:ascii="仿宋_GB2312" w:hAnsi="仿宋_GB2312" w:eastAsia="仿宋_GB2312" w:cs="仿宋_GB2312"/>
          <w:b/>
          <w:sz w:val="24"/>
          <w:highlight w:val="none"/>
        </w:rPr>
        <w:t>22. 通知</w:t>
      </w:r>
    </w:p>
    <w:p w14:paraId="5A08FD16">
      <w:pPr>
        <w:pStyle w:val="21"/>
        <w:keepLines w:val="0"/>
        <w:pageBreakBefore w:val="0"/>
        <w:kinsoku/>
        <w:wordWrap/>
        <w:overflowPunct/>
        <w:topLinePunct w:val="0"/>
        <w:bidi w:val="0"/>
        <w:spacing w:line="360" w:lineRule="exact"/>
        <w:ind w:firstLine="480"/>
        <w:jc w:val="both"/>
        <w:textAlignment w:val="auto"/>
        <w:rPr>
          <w:rFonts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22.1 本合同任何一方向对方发出的通知、信件、数据电文等，应当发送至本合同第一部分《政府采购合同协议书》所约定的通讯地址、联系人、联系电话或电子邮箱。</w:t>
      </w:r>
    </w:p>
    <w:p w14:paraId="3E3E5ED0">
      <w:pPr>
        <w:pStyle w:val="21"/>
        <w:keepLines w:val="0"/>
        <w:pageBreakBefore w:val="0"/>
        <w:kinsoku/>
        <w:wordWrap/>
        <w:overflowPunct/>
        <w:topLinePunct w:val="0"/>
        <w:bidi w:val="0"/>
        <w:spacing w:line="360" w:lineRule="exact"/>
        <w:ind w:firstLine="0" w:firstLineChars="0"/>
        <w:jc w:val="both"/>
        <w:textAlignment w:val="auto"/>
        <w:rPr>
          <w:rFonts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 xml:space="preserve">    22.2 一方当事人变更名称、住所、联系人、联系电话或电子邮箱等信息的，应当在变更后3日内及时书面通知对方，对方实际收到变更通知前的送达仍为有效送达。</w:t>
      </w:r>
    </w:p>
    <w:p w14:paraId="203F25CC">
      <w:pPr>
        <w:keepLines w:val="0"/>
        <w:pageBreakBefore w:val="0"/>
        <w:kinsoku/>
        <w:wordWrap/>
        <w:overflowPunct/>
        <w:topLinePunct w:val="0"/>
        <w:bidi w:val="0"/>
        <w:adjustRightInd w:val="0"/>
        <w:snapToGrid w:val="0"/>
        <w:spacing w:line="360" w:lineRule="exact"/>
        <w:ind w:firstLine="480" w:firstLineChars="200"/>
        <w:jc w:val="left"/>
        <w:textAlignment w:val="auto"/>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22.3本合同一方给另一方的通知均应采用书面形式，传真或快递送到本合同中规定的对方的地址和办理签收手续。</w:t>
      </w:r>
    </w:p>
    <w:p w14:paraId="1D010176">
      <w:pPr>
        <w:keepLines w:val="0"/>
        <w:pageBreakBefore w:val="0"/>
        <w:kinsoku/>
        <w:wordWrap/>
        <w:overflowPunct/>
        <w:topLinePunct w:val="0"/>
        <w:bidi w:val="0"/>
        <w:adjustRightInd w:val="0"/>
        <w:snapToGrid w:val="0"/>
        <w:spacing w:line="360" w:lineRule="exact"/>
        <w:ind w:firstLine="480" w:firstLineChars="200"/>
        <w:jc w:val="left"/>
        <w:textAlignment w:val="auto"/>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22.4通知以送达之日或通知书中规定的生效之日起生效，两者中以较迟之日为准。</w:t>
      </w:r>
    </w:p>
    <w:p w14:paraId="459095AA">
      <w:pPr>
        <w:keepLines w:val="0"/>
        <w:pageBreakBefore w:val="0"/>
        <w:numPr>
          <w:ilvl w:val="0"/>
          <w:numId w:val="8"/>
        </w:numPr>
        <w:kinsoku/>
        <w:wordWrap/>
        <w:overflowPunct/>
        <w:topLinePunct w:val="0"/>
        <w:bidi w:val="0"/>
        <w:adjustRightInd w:val="0"/>
        <w:snapToGrid w:val="0"/>
        <w:spacing w:line="360" w:lineRule="exact"/>
        <w:jc w:val="left"/>
        <w:textAlignment w:val="auto"/>
        <w:rPr>
          <w:rFonts w:ascii="仿宋_GB2312" w:hAnsi="仿宋_GB2312" w:eastAsia="仿宋_GB2312" w:cs="仿宋_GB2312"/>
          <w:b/>
          <w:bCs/>
          <w:sz w:val="24"/>
          <w:highlight w:val="none"/>
        </w:rPr>
      </w:pPr>
      <w:r>
        <w:rPr>
          <w:rFonts w:hint="eastAsia" w:ascii="仿宋_GB2312" w:hAnsi="仿宋_GB2312" w:eastAsia="仿宋_GB2312" w:cs="仿宋_GB2312"/>
          <w:b/>
          <w:bCs/>
          <w:sz w:val="24"/>
          <w:highlight w:val="none"/>
        </w:rPr>
        <w:t>合同未尽事项</w:t>
      </w:r>
    </w:p>
    <w:p w14:paraId="3C7698B4">
      <w:pPr>
        <w:keepLines w:val="0"/>
        <w:pageBreakBefore w:val="0"/>
        <w:kinsoku/>
        <w:wordWrap/>
        <w:overflowPunct/>
        <w:topLinePunct w:val="0"/>
        <w:bidi w:val="0"/>
        <w:adjustRightInd w:val="0"/>
        <w:snapToGrid w:val="0"/>
        <w:spacing w:line="360" w:lineRule="exact"/>
        <w:ind w:firstLine="480" w:firstLineChars="200"/>
        <w:jc w:val="left"/>
        <w:textAlignment w:val="auto"/>
        <w:rPr>
          <w:rFonts w:ascii="仿宋_GB2312" w:hAnsi="仿宋_GB2312" w:eastAsia="仿宋_GB2312" w:cs="仿宋_GB2312"/>
          <w:bCs/>
          <w:sz w:val="24"/>
          <w:highlight w:val="none"/>
        </w:rPr>
      </w:pPr>
      <w:r>
        <w:rPr>
          <w:rFonts w:hint="eastAsia" w:ascii="仿宋_GB2312" w:hAnsi="仿宋_GB2312" w:eastAsia="仿宋_GB2312" w:cs="仿宋_GB2312"/>
          <w:bCs/>
          <w:sz w:val="24"/>
          <w:highlight w:val="none"/>
        </w:rPr>
        <w:t>23.1合同未尽事项见</w:t>
      </w:r>
      <w:r>
        <w:rPr>
          <w:rFonts w:hint="eastAsia" w:ascii="仿宋_GB2312" w:hAnsi="仿宋_GB2312" w:eastAsia="仿宋_GB2312" w:cs="仿宋_GB2312"/>
          <w:b/>
          <w:sz w:val="24"/>
          <w:highlight w:val="none"/>
        </w:rPr>
        <w:t>【政府采购合同专用条款】</w:t>
      </w:r>
      <w:r>
        <w:rPr>
          <w:rFonts w:hint="eastAsia" w:ascii="仿宋_GB2312" w:hAnsi="仿宋_GB2312" w:eastAsia="仿宋_GB2312" w:cs="仿宋_GB2312"/>
          <w:bCs/>
          <w:sz w:val="24"/>
          <w:highlight w:val="none"/>
        </w:rPr>
        <w:t>。</w:t>
      </w:r>
    </w:p>
    <w:p w14:paraId="1F1EB9F6">
      <w:pPr>
        <w:keepLines w:val="0"/>
        <w:pageBreakBefore w:val="0"/>
        <w:kinsoku/>
        <w:wordWrap/>
        <w:overflowPunct/>
        <w:topLinePunct w:val="0"/>
        <w:bidi w:val="0"/>
        <w:adjustRightInd w:val="0"/>
        <w:snapToGrid w:val="0"/>
        <w:spacing w:line="360" w:lineRule="exact"/>
        <w:jc w:val="left"/>
        <w:textAlignment w:val="auto"/>
        <w:rPr>
          <w:rFonts w:ascii="仿宋_GB2312" w:hAnsi="仿宋_GB2312" w:eastAsia="仿宋_GB2312" w:cs="仿宋_GB2312"/>
          <w:sz w:val="24"/>
          <w:highlight w:val="none"/>
        </w:rPr>
      </w:pPr>
      <w:r>
        <w:rPr>
          <w:rFonts w:hint="eastAsia" w:ascii="仿宋_GB2312" w:hAnsi="仿宋_GB2312" w:eastAsia="仿宋_GB2312" w:cs="仿宋_GB2312"/>
          <w:bCs/>
          <w:sz w:val="24"/>
          <w:highlight w:val="none"/>
        </w:rPr>
        <w:t xml:space="preserve">    23.2 合同附件与合同正文具有同等的法律效力。</w:t>
      </w:r>
      <w:bookmarkStart w:id="5" w:name="_Toc20313"/>
    </w:p>
    <w:p w14:paraId="14871781">
      <w:pPr>
        <w:adjustRightInd w:val="0"/>
        <w:snapToGrid w:val="0"/>
        <w:jc w:val="center"/>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br w:type="page"/>
      </w:r>
    </w:p>
    <w:p w14:paraId="2082E268">
      <w:pPr>
        <w:pStyle w:val="3"/>
        <w:adjustRightInd w:val="0"/>
        <w:snapToGrid w:val="0"/>
        <w:jc w:val="center"/>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第三节 政府采购合同专用条款</w:t>
      </w:r>
      <w:bookmarkEnd w:id="5"/>
    </w:p>
    <w:tbl>
      <w:tblPr>
        <w:tblStyle w:val="12"/>
        <w:tblW w:w="9349"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07"/>
        <w:gridCol w:w="1742"/>
        <w:gridCol w:w="6000"/>
      </w:tblGrid>
      <w:tr w14:paraId="68BBA24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492619EA">
            <w:pPr>
              <w:adjustRightInd w:val="0"/>
              <w:snapToGrid w:val="0"/>
              <w:jc w:val="center"/>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第二节</w:t>
            </w:r>
          </w:p>
          <w:p w14:paraId="5B613ACA">
            <w:pPr>
              <w:adjustRightInd w:val="0"/>
              <w:snapToGrid w:val="0"/>
              <w:jc w:val="center"/>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第1.2（6）项</w:t>
            </w:r>
          </w:p>
        </w:tc>
        <w:tc>
          <w:tcPr>
            <w:tcW w:w="1742" w:type="dxa"/>
            <w:vAlign w:val="center"/>
          </w:tcPr>
          <w:p w14:paraId="36AEA7DC">
            <w:pPr>
              <w:adjustRightInd w:val="0"/>
              <w:snapToGrid w:val="0"/>
              <w:jc w:val="left"/>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联合体具体要求</w:t>
            </w:r>
          </w:p>
        </w:tc>
        <w:tc>
          <w:tcPr>
            <w:tcW w:w="6000" w:type="dxa"/>
            <w:vAlign w:val="center"/>
          </w:tcPr>
          <w:p w14:paraId="508AA909">
            <w:pPr>
              <w:adjustRightInd w:val="0"/>
              <w:snapToGrid w:val="0"/>
              <w:jc w:val="left"/>
              <w:rPr>
                <w:rFonts w:ascii="仿宋_GB2312" w:hAnsi="仿宋_GB2312" w:eastAsia="仿宋_GB2312" w:cs="仿宋_GB2312"/>
                <w:sz w:val="24"/>
                <w:highlight w:val="none"/>
              </w:rPr>
            </w:pPr>
          </w:p>
        </w:tc>
      </w:tr>
      <w:tr w14:paraId="446F7E2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trPr>
        <w:tc>
          <w:tcPr>
            <w:tcW w:w="1607" w:type="dxa"/>
            <w:vAlign w:val="center"/>
          </w:tcPr>
          <w:p w14:paraId="7CFF3A15">
            <w:pPr>
              <w:adjustRightInd w:val="0"/>
              <w:snapToGrid w:val="0"/>
              <w:jc w:val="center"/>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第二节</w:t>
            </w:r>
          </w:p>
          <w:p w14:paraId="2A8BA005">
            <w:pPr>
              <w:adjustRightInd w:val="0"/>
              <w:snapToGrid w:val="0"/>
              <w:jc w:val="center"/>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第1.2（7）项</w:t>
            </w:r>
          </w:p>
        </w:tc>
        <w:tc>
          <w:tcPr>
            <w:tcW w:w="1742" w:type="dxa"/>
            <w:vAlign w:val="center"/>
          </w:tcPr>
          <w:p w14:paraId="6490244B">
            <w:pPr>
              <w:adjustRightInd w:val="0"/>
              <w:snapToGrid w:val="0"/>
              <w:jc w:val="left"/>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其他术语解释</w:t>
            </w:r>
          </w:p>
        </w:tc>
        <w:tc>
          <w:tcPr>
            <w:tcW w:w="6000" w:type="dxa"/>
            <w:vAlign w:val="center"/>
          </w:tcPr>
          <w:p w14:paraId="72560678">
            <w:pPr>
              <w:adjustRightInd w:val="0"/>
              <w:snapToGrid w:val="0"/>
              <w:jc w:val="left"/>
              <w:rPr>
                <w:rFonts w:ascii="仿宋_GB2312" w:hAnsi="仿宋_GB2312" w:eastAsia="仿宋_GB2312" w:cs="仿宋_GB2312"/>
                <w:sz w:val="24"/>
                <w:highlight w:val="none"/>
              </w:rPr>
            </w:pPr>
          </w:p>
        </w:tc>
      </w:tr>
      <w:tr w14:paraId="696FB3D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6FBBAAAF">
            <w:pPr>
              <w:adjustRightInd w:val="0"/>
              <w:snapToGrid w:val="0"/>
              <w:jc w:val="center"/>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第二节</w:t>
            </w:r>
          </w:p>
          <w:p w14:paraId="71A575E9">
            <w:pPr>
              <w:adjustRightInd w:val="0"/>
              <w:snapToGrid w:val="0"/>
              <w:jc w:val="center"/>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第4.4款</w:t>
            </w:r>
          </w:p>
        </w:tc>
        <w:tc>
          <w:tcPr>
            <w:tcW w:w="1742" w:type="dxa"/>
            <w:vAlign w:val="center"/>
          </w:tcPr>
          <w:p w14:paraId="5C8DA2A7">
            <w:pPr>
              <w:adjustRightInd w:val="0"/>
              <w:snapToGrid w:val="0"/>
              <w:jc w:val="left"/>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履约验收中甲方提出异议或作出说明的期限</w:t>
            </w:r>
          </w:p>
        </w:tc>
        <w:tc>
          <w:tcPr>
            <w:tcW w:w="6000" w:type="dxa"/>
            <w:vAlign w:val="center"/>
          </w:tcPr>
          <w:p w14:paraId="2FE4A4E8">
            <w:pPr>
              <w:spacing w:line="360" w:lineRule="auto"/>
              <w:rPr>
                <w:rFonts w:ascii="仿宋_GB2312" w:hAnsi="仿宋_GB2312" w:eastAsia="仿宋_GB2312" w:cs="仿宋_GB2312"/>
                <w:sz w:val="24"/>
                <w:highlight w:val="none"/>
              </w:rPr>
            </w:pPr>
          </w:p>
        </w:tc>
      </w:tr>
      <w:tr w14:paraId="437C527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607" w:type="dxa"/>
            <w:vAlign w:val="center"/>
          </w:tcPr>
          <w:p w14:paraId="5B4E218F">
            <w:pPr>
              <w:adjustRightInd w:val="0"/>
              <w:snapToGrid w:val="0"/>
              <w:jc w:val="center"/>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第二节</w:t>
            </w:r>
          </w:p>
          <w:p w14:paraId="396942C1">
            <w:pPr>
              <w:adjustRightInd w:val="0"/>
              <w:snapToGrid w:val="0"/>
              <w:jc w:val="center"/>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第4.6款</w:t>
            </w:r>
          </w:p>
        </w:tc>
        <w:tc>
          <w:tcPr>
            <w:tcW w:w="1742" w:type="dxa"/>
            <w:vAlign w:val="center"/>
          </w:tcPr>
          <w:p w14:paraId="58253F17">
            <w:pPr>
              <w:adjustRightInd w:val="0"/>
              <w:snapToGrid w:val="0"/>
              <w:jc w:val="left"/>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约定甲方承担的其他义务和责任</w:t>
            </w:r>
          </w:p>
        </w:tc>
        <w:tc>
          <w:tcPr>
            <w:tcW w:w="6000" w:type="dxa"/>
            <w:vAlign w:val="center"/>
          </w:tcPr>
          <w:p w14:paraId="0BCEFD00">
            <w:pPr>
              <w:adjustRightInd w:val="0"/>
              <w:snapToGrid w:val="0"/>
              <w:jc w:val="left"/>
              <w:rPr>
                <w:rFonts w:ascii="仿宋_GB2312" w:hAnsi="仿宋_GB2312" w:eastAsia="仿宋_GB2312" w:cs="仿宋_GB2312"/>
                <w:sz w:val="24"/>
                <w:highlight w:val="none"/>
              </w:rPr>
            </w:pPr>
          </w:p>
        </w:tc>
      </w:tr>
      <w:tr w14:paraId="76B8AD4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03669161">
            <w:pPr>
              <w:adjustRightInd w:val="0"/>
              <w:snapToGrid w:val="0"/>
              <w:jc w:val="center"/>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第二节</w:t>
            </w:r>
          </w:p>
          <w:p w14:paraId="1CE46369">
            <w:pPr>
              <w:snapToGrid w:val="0"/>
              <w:jc w:val="center"/>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第5.4款</w:t>
            </w:r>
          </w:p>
        </w:tc>
        <w:tc>
          <w:tcPr>
            <w:tcW w:w="1742" w:type="dxa"/>
            <w:vAlign w:val="center"/>
          </w:tcPr>
          <w:p w14:paraId="49D1EEA5">
            <w:pPr>
              <w:adjustRightInd w:val="0"/>
              <w:snapToGrid w:val="0"/>
              <w:jc w:val="left"/>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约定乙方承担的其他义务和责任</w:t>
            </w:r>
          </w:p>
        </w:tc>
        <w:tc>
          <w:tcPr>
            <w:tcW w:w="6000" w:type="dxa"/>
            <w:vAlign w:val="center"/>
          </w:tcPr>
          <w:p w14:paraId="6DF6226E">
            <w:pPr>
              <w:spacing w:line="400" w:lineRule="exact"/>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 xml:space="preserve">有下列情况之一的，甲方有权认定乙方违约并由乙方承担相应责任： </w:t>
            </w:r>
          </w:p>
          <w:p w14:paraId="32B21D6C">
            <w:pPr>
              <w:spacing w:line="400" w:lineRule="exact"/>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w:t>
            </w:r>
            <w:r>
              <w:rPr>
                <w:rFonts w:hint="eastAsia" w:ascii="仿宋_GB2312" w:hAnsi="仿宋_GB2312" w:eastAsia="仿宋_GB2312" w:cs="仿宋_GB2312"/>
                <w:sz w:val="24"/>
                <w:highlight w:val="none"/>
                <w:lang w:val="en-US" w:eastAsia="zh-CN"/>
              </w:rPr>
              <w:t>一</w:t>
            </w:r>
            <w:r>
              <w:rPr>
                <w:rFonts w:hint="eastAsia" w:ascii="仿宋_GB2312" w:hAnsi="仿宋_GB2312" w:eastAsia="仿宋_GB2312" w:cs="仿宋_GB2312"/>
                <w:sz w:val="24"/>
                <w:highlight w:val="none"/>
              </w:rPr>
              <w:t>）乙方须按照甲方的需求按时供货，合同执行期间，未征得甲方同意，乙方不得无故延误供货时限和终止采购合同。否则甲方有权没收挂账货款，作为对甲方损失的部分补偿。</w:t>
            </w:r>
          </w:p>
          <w:p w14:paraId="1CA47734">
            <w:pPr>
              <w:spacing w:line="400" w:lineRule="exact"/>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二）乙方未按合同、招标文件的要求或投标文件的承诺按时提供产品，或产品质量不能满足甲方技术要求或乙方的相关服务不到位，影响甲方正常的医疗工作，甲方有权终止合同，取消乙方的供货资格，有权没收乙方的挂账货款。</w:t>
            </w:r>
          </w:p>
          <w:p w14:paraId="50489315">
            <w:pPr>
              <w:spacing w:line="400" w:lineRule="exact"/>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三）乙方不得以任何形式违反国家关于医药购销领域不正当竞争的有关规定。对可能涉嫌不正当竞争的乙方，一经查证，坚决取消供应资格，三年内不许参加医院的耗材供销活动，并按上级的有关规定执行处罚。</w:t>
            </w:r>
          </w:p>
        </w:tc>
      </w:tr>
      <w:tr w14:paraId="6760660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63D455A3">
            <w:pPr>
              <w:adjustRightInd w:val="0"/>
              <w:snapToGrid w:val="0"/>
              <w:jc w:val="center"/>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第二节</w:t>
            </w:r>
          </w:p>
          <w:p w14:paraId="56EE5413">
            <w:pPr>
              <w:snapToGrid w:val="0"/>
              <w:jc w:val="center"/>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第6.1款</w:t>
            </w:r>
          </w:p>
        </w:tc>
        <w:tc>
          <w:tcPr>
            <w:tcW w:w="1742" w:type="dxa"/>
            <w:vAlign w:val="center"/>
          </w:tcPr>
          <w:p w14:paraId="7E01092D">
            <w:pPr>
              <w:adjustRightInd w:val="0"/>
              <w:snapToGrid w:val="0"/>
              <w:jc w:val="left"/>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履行合同义务的顺序</w:t>
            </w:r>
          </w:p>
        </w:tc>
        <w:tc>
          <w:tcPr>
            <w:tcW w:w="6000" w:type="dxa"/>
            <w:vAlign w:val="center"/>
          </w:tcPr>
          <w:p w14:paraId="0D00FA9B">
            <w:pPr>
              <w:autoSpaceDE w:val="0"/>
              <w:autoSpaceDN w:val="0"/>
              <w:adjustRightInd w:val="0"/>
              <w:snapToGrid w:val="0"/>
              <w:spacing w:line="400" w:lineRule="exact"/>
              <w:jc w:val="left"/>
              <w:rPr>
                <w:rFonts w:hint="default" w:ascii="仿宋_GB2312" w:hAnsi="仿宋_GB2312" w:eastAsia="仿宋_GB2312" w:cs="仿宋_GB2312"/>
                <w:sz w:val="24"/>
                <w:highlight w:val="none"/>
                <w:lang w:val="en-US" w:eastAsia="zh-CN"/>
              </w:rPr>
            </w:pPr>
            <w:r>
              <w:rPr>
                <w:rFonts w:hint="eastAsia" w:ascii="仿宋_GB2312" w:hAnsi="仿宋_GB2312" w:eastAsia="仿宋_GB2312" w:cs="仿宋_GB2312"/>
                <w:sz w:val="24"/>
                <w:highlight w:val="none"/>
                <w:lang w:val="en-US" w:eastAsia="zh-CN"/>
              </w:rPr>
              <w:t>甲乙双方应同时履行义务。按照合同约定顺序履行合同义务，应当先履行一方未履行的，后履行的一方有权拒绝其履行请求。先履行一方履行不符合约定的，后履行一方有权拒绝其相应的履行请求。</w:t>
            </w:r>
          </w:p>
        </w:tc>
      </w:tr>
      <w:tr w14:paraId="375FAB2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restart"/>
            <w:vAlign w:val="center"/>
          </w:tcPr>
          <w:p w14:paraId="2342EEC7">
            <w:pPr>
              <w:adjustRightInd w:val="0"/>
              <w:snapToGrid w:val="0"/>
              <w:jc w:val="center"/>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第二节</w:t>
            </w:r>
          </w:p>
          <w:p w14:paraId="08648A8C">
            <w:pPr>
              <w:adjustRightInd w:val="0"/>
              <w:snapToGrid w:val="0"/>
              <w:jc w:val="center"/>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第7.1款</w:t>
            </w:r>
          </w:p>
        </w:tc>
        <w:tc>
          <w:tcPr>
            <w:tcW w:w="1742" w:type="dxa"/>
            <w:vAlign w:val="center"/>
          </w:tcPr>
          <w:p w14:paraId="0C53C62F">
            <w:pPr>
              <w:adjustRightInd w:val="0"/>
              <w:snapToGrid w:val="0"/>
              <w:jc w:val="left"/>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包装特殊要求</w:t>
            </w:r>
          </w:p>
        </w:tc>
        <w:tc>
          <w:tcPr>
            <w:tcW w:w="6000" w:type="dxa"/>
            <w:vAlign w:val="center"/>
          </w:tcPr>
          <w:p w14:paraId="1812FCA3">
            <w:pPr>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1.符合出厂规范、包装完整无破损、满足长途运输要求。</w:t>
            </w:r>
          </w:p>
          <w:p w14:paraId="2D889FF5">
            <w:pPr>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2．防雨、防潮、灭菌方式、有效期、各种符号、标识清楚。</w:t>
            </w:r>
          </w:p>
          <w:p w14:paraId="6ED77FCB">
            <w:pPr>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3.必须为原装、全新产品，渠道合法。</w:t>
            </w:r>
          </w:p>
        </w:tc>
      </w:tr>
      <w:tr w14:paraId="1256900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continue"/>
            <w:vAlign w:val="center"/>
          </w:tcPr>
          <w:p w14:paraId="25460B75">
            <w:pPr>
              <w:adjustRightInd w:val="0"/>
              <w:snapToGrid w:val="0"/>
              <w:jc w:val="center"/>
              <w:rPr>
                <w:rFonts w:ascii="仿宋_GB2312" w:hAnsi="仿宋_GB2312" w:eastAsia="仿宋_GB2312" w:cs="仿宋_GB2312"/>
                <w:sz w:val="24"/>
                <w:highlight w:val="none"/>
              </w:rPr>
            </w:pPr>
          </w:p>
        </w:tc>
        <w:tc>
          <w:tcPr>
            <w:tcW w:w="1742" w:type="dxa"/>
            <w:vAlign w:val="center"/>
          </w:tcPr>
          <w:p w14:paraId="1F208BAD">
            <w:pPr>
              <w:adjustRightInd w:val="0"/>
              <w:snapToGrid w:val="0"/>
              <w:jc w:val="left"/>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指定现场</w:t>
            </w:r>
          </w:p>
        </w:tc>
        <w:tc>
          <w:tcPr>
            <w:tcW w:w="6000" w:type="dxa"/>
            <w:vAlign w:val="center"/>
          </w:tcPr>
          <w:p w14:paraId="2D5B51BA">
            <w:pPr>
              <w:rPr>
                <w:rFonts w:hint="default" w:ascii="仿宋_GB2312" w:hAnsi="仿宋_GB2312" w:eastAsia="仿宋_GB2312" w:cs="仿宋_GB2312"/>
                <w:sz w:val="24"/>
                <w:highlight w:val="none"/>
                <w:lang w:val="en-US" w:eastAsia="zh-CN"/>
              </w:rPr>
            </w:pPr>
            <w:r>
              <w:rPr>
                <w:rFonts w:hint="eastAsia" w:ascii="仿宋_GB2312" w:hAnsi="仿宋_GB2312" w:eastAsia="仿宋_GB2312" w:cs="仿宋_GB2312"/>
                <w:sz w:val="24"/>
                <w:highlight w:val="none"/>
                <w:lang w:val="en-US" w:eastAsia="zh-CN"/>
              </w:rPr>
              <w:t>甲方指定地点</w:t>
            </w:r>
          </w:p>
        </w:tc>
      </w:tr>
      <w:tr w14:paraId="0FBFDEA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2" w:hRule="atLeast"/>
        </w:trPr>
        <w:tc>
          <w:tcPr>
            <w:tcW w:w="1607" w:type="dxa"/>
            <w:vAlign w:val="center"/>
          </w:tcPr>
          <w:p w14:paraId="77E032B0">
            <w:pPr>
              <w:adjustRightInd w:val="0"/>
              <w:snapToGrid w:val="0"/>
              <w:jc w:val="center"/>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第二节</w:t>
            </w:r>
          </w:p>
          <w:p w14:paraId="1771DFAE">
            <w:pPr>
              <w:adjustRightInd w:val="0"/>
              <w:snapToGrid w:val="0"/>
              <w:jc w:val="center"/>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第7.2款</w:t>
            </w:r>
          </w:p>
        </w:tc>
        <w:tc>
          <w:tcPr>
            <w:tcW w:w="1742" w:type="dxa"/>
            <w:vAlign w:val="center"/>
          </w:tcPr>
          <w:p w14:paraId="6A3BAF12">
            <w:pPr>
              <w:adjustRightInd w:val="0"/>
              <w:snapToGrid w:val="0"/>
              <w:jc w:val="left"/>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运输特殊要求</w:t>
            </w:r>
          </w:p>
        </w:tc>
        <w:tc>
          <w:tcPr>
            <w:tcW w:w="6000" w:type="dxa"/>
            <w:vAlign w:val="center"/>
          </w:tcPr>
          <w:p w14:paraId="47A1E152">
            <w:pPr>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按照产品的运输要求执行。</w:t>
            </w:r>
          </w:p>
        </w:tc>
      </w:tr>
      <w:tr w14:paraId="13AD673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Align w:val="center"/>
          </w:tcPr>
          <w:p w14:paraId="73281D2E">
            <w:pPr>
              <w:adjustRightInd w:val="0"/>
              <w:snapToGrid w:val="0"/>
              <w:jc w:val="center"/>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第二节</w:t>
            </w:r>
          </w:p>
          <w:p w14:paraId="55AA1D10">
            <w:pPr>
              <w:adjustRightInd w:val="0"/>
              <w:snapToGrid w:val="0"/>
              <w:jc w:val="center"/>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第7.3款</w:t>
            </w:r>
          </w:p>
        </w:tc>
        <w:tc>
          <w:tcPr>
            <w:tcW w:w="1742" w:type="dxa"/>
            <w:vAlign w:val="center"/>
          </w:tcPr>
          <w:p w14:paraId="3C933B04">
            <w:pPr>
              <w:adjustRightInd w:val="0"/>
              <w:snapToGrid w:val="0"/>
              <w:jc w:val="left"/>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保险要求</w:t>
            </w:r>
          </w:p>
        </w:tc>
        <w:tc>
          <w:tcPr>
            <w:tcW w:w="6000" w:type="dxa"/>
            <w:vAlign w:val="center"/>
          </w:tcPr>
          <w:p w14:paraId="1138A5AE">
            <w:pPr>
              <w:adjustRightInd w:val="0"/>
              <w:snapToGrid w:val="0"/>
              <w:spacing w:line="400" w:lineRule="exact"/>
              <w:jc w:val="left"/>
              <w:rPr>
                <w:rFonts w:ascii="仿宋_GB2312" w:hAnsi="仿宋_GB2312" w:eastAsia="仿宋_GB2312" w:cs="仿宋_GB2312"/>
                <w:sz w:val="24"/>
                <w:highlight w:val="none"/>
              </w:rPr>
            </w:pPr>
          </w:p>
        </w:tc>
      </w:tr>
      <w:tr w14:paraId="13208E5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287AD6B2">
            <w:pPr>
              <w:adjustRightInd w:val="0"/>
              <w:snapToGrid w:val="0"/>
              <w:jc w:val="center"/>
              <w:rPr>
                <w:rFonts w:ascii="仿宋_GB2312" w:hAnsi="仿宋_GB2312" w:eastAsia="仿宋_GB2312" w:cs="仿宋_GB2312"/>
                <w:color w:val="000000" w:themeColor="text1"/>
                <w:sz w:val="24"/>
                <w:highlight w:val="none"/>
                <w14:textFill>
                  <w14:solidFill>
                    <w14:schemeClr w14:val="tx1"/>
                  </w14:solidFill>
                </w14:textFill>
              </w:rPr>
            </w:pPr>
            <w:r>
              <w:rPr>
                <w:rFonts w:hint="eastAsia" w:ascii="仿宋_GB2312" w:hAnsi="仿宋_GB2312" w:eastAsia="仿宋_GB2312" w:cs="仿宋_GB2312"/>
                <w:color w:val="000000" w:themeColor="text1"/>
                <w:sz w:val="24"/>
                <w:highlight w:val="none"/>
                <w14:textFill>
                  <w14:solidFill>
                    <w14:schemeClr w14:val="tx1"/>
                  </w14:solidFill>
                </w14:textFill>
              </w:rPr>
              <w:t>第二节</w:t>
            </w:r>
          </w:p>
          <w:p w14:paraId="15E44E52">
            <w:pPr>
              <w:adjustRightInd w:val="0"/>
              <w:snapToGrid w:val="0"/>
              <w:jc w:val="center"/>
              <w:rPr>
                <w:rFonts w:ascii="仿宋_GB2312" w:hAnsi="仿宋_GB2312" w:eastAsia="仿宋_GB2312" w:cs="仿宋_GB2312"/>
                <w:color w:val="000000" w:themeColor="text1"/>
                <w:sz w:val="24"/>
                <w:highlight w:val="none"/>
                <w14:textFill>
                  <w14:solidFill>
                    <w14:schemeClr w14:val="tx1"/>
                  </w14:solidFill>
                </w14:textFill>
              </w:rPr>
            </w:pPr>
            <w:r>
              <w:rPr>
                <w:rFonts w:hint="eastAsia" w:ascii="仿宋_GB2312" w:hAnsi="仿宋_GB2312" w:eastAsia="仿宋_GB2312" w:cs="仿宋_GB2312"/>
                <w:color w:val="000000" w:themeColor="text1"/>
                <w:sz w:val="24"/>
                <w:highlight w:val="none"/>
                <w14:textFill>
                  <w14:solidFill>
                    <w14:schemeClr w14:val="tx1"/>
                  </w14:solidFill>
                </w14:textFill>
              </w:rPr>
              <w:t>第8.2（1）项</w:t>
            </w:r>
          </w:p>
        </w:tc>
        <w:tc>
          <w:tcPr>
            <w:tcW w:w="1742" w:type="dxa"/>
            <w:vAlign w:val="center"/>
          </w:tcPr>
          <w:p w14:paraId="2B924339">
            <w:pPr>
              <w:adjustRightInd w:val="0"/>
              <w:snapToGrid w:val="0"/>
              <w:jc w:val="left"/>
              <w:rPr>
                <w:rFonts w:ascii="仿宋_GB2312" w:hAnsi="仿宋_GB2312" w:eastAsia="仿宋_GB2312" w:cs="仿宋_GB2312"/>
                <w:color w:val="000000" w:themeColor="text1"/>
                <w:sz w:val="24"/>
                <w:highlight w:val="none"/>
                <w14:textFill>
                  <w14:solidFill>
                    <w14:schemeClr w14:val="tx1"/>
                  </w14:solidFill>
                </w14:textFill>
              </w:rPr>
            </w:pPr>
            <w:r>
              <w:rPr>
                <w:rFonts w:hint="eastAsia" w:ascii="仿宋_GB2312" w:hAnsi="仿宋_GB2312" w:eastAsia="仿宋_GB2312" w:cs="仿宋_GB2312"/>
                <w:color w:val="000000" w:themeColor="text1"/>
                <w:sz w:val="24"/>
                <w:highlight w:val="none"/>
                <w14:textFill>
                  <w14:solidFill>
                    <w14:schemeClr w14:val="tx1"/>
                  </w14:solidFill>
                </w14:textFill>
              </w:rPr>
              <w:t>质量保证期</w:t>
            </w:r>
          </w:p>
        </w:tc>
        <w:tc>
          <w:tcPr>
            <w:tcW w:w="6000" w:type="dxa"/>
            <w:vAlign w:val="center"/>
          </w:tcPr>
          <w:p w14:paraId="66784223">
            <w:pPr>
              <w:autoSpaceDE w:val="0"/>
              <w:autoSpaceDN w:val="0"/>
              <w:adjustRightInd w:val="0"/>
              <w:snapToGrid w:val="0"/>
              <w:jc w:val="left"/>
              <w:rPr>
                <w:rFonts w:hint="default" w:ascii="仿宋_GB2312" w:hAnsi="仿宋_GB2312" w:eastAsia="仿宋_GB2312" w:cs="仿宋_GB2312"/>
                <w:color w:val="000000" w:themeColor="text1"/>
                <w:sz w:val="24"/>
                <w:highlight w:val="none"/>
                <w:lang w:val="en-US" w:eastAsia="zh-CN"/>
                <w14:textFill>
                  <w14:solidFill>
                    <w14:schemeClr w14:val="tx1"/>
                  </w14:solidFill>
                </w14:textFill>
              </w:rPr>
            </w:pPr>
          </w:p>
        </w:tc>
      </w:tr>
      <w:tr w14:paraId="6E8E4AE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648E988B">
            <w:pPr>
              <w:adjustRightInd w:val="0"/>
              <w:snapToGrid w:val="0"/>
              <w:jc w:val="center"/>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第二节</w:t>
            </w:r>
          </w:p>
          <w:p w14:paraId="36E9FB05">
            <w:pPr>
              <w:adjustRightInd w:val="0"/>
              <w:snapToGrid w:val="0"/>
              <w:jc w:val="center"/>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第8.2（3）项</w:t>
            </w:r>
          </w:p>
        </w:tc>
        <w:tc>
          <w:tcPr>
            <w:tcW w:w="1742" w:type="dxa"/>
            <w:vAlign w:val="center"/>
          </w:tcPr>
          <w:p w14:paraId="4512A854">
            <w:pPr>
              <w:adjustRightInd w:val="0"/>
              <w:snapToGrid w:val="0"/>
              <w:jc w:val="left"/>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货物质量缺陷</w:t>
            </w:r>
          </w:p>
          <w:p w14:paraId="73D5DB18">
            <w:pPr>
              <w:adjustRightInd w:val="0"/>
              <w:snapToGrid w:val="0"/>
              <w:jc w:val="left"/>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响应时间</w:t>
            </w:r>
          </w:p>
        </w:tc>
        <w:tc>
          <w:tcPr>
            <w:tcW w:w="6000" w:type="dxa"/>
            <w:vAlign w:val="center"/>
          </w:tcPr>
          <w:p w14:paraId="18E8F71F">
            <w:pPr>
              <w:autoSpaceDE w:val="0"/>
              <w:autoSpaceDN w:val="0"/>
              <w:adjustRightInd w:val="0"/>
              <w:snapToGrid w:val="0"/>
              <w:spacing w:line="400" w:lineRule="exact"/>
              <w:jc w:val="left"/>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提供7x24小时技术支持，在接到故障通知后</w:t>
            </w:r>
            <w:r>
              <w:rPr>
                <w:rFonts w:hint="eastAsia" w:ascii="仿宋_GB2312" w:hAnsi="仿宋_GB2312" w:eastAsia="仿宋_GB2312" w:cs="仿宋_GB2312"/>
                <w:sz w:val="24"/>
                <w:highlight w:val="none"/>
                <w:lang w:val="en-US" w:eastAsia="zh-CN"/>
              </w:rPr>
              <w:t>2</w:t>
            </w:r>
            <w:r>
              <w:rPr>
                <w:rFonts w:hint="eastAsia" w:ascii="仿宋_GB2312" w:hAnsi="仿宋_GB2312" w:eastAsia="仿宋_GB2312" w:cs="仿宋_GB2312"/>
                <w:sz w:val="24"/>
                <w:highlight w:val="none"/>
              </w:rPr>
              <w:t>小时内作出有效响应。对于无法远程解决的故障，确保工程师在24小时内到达用户现场进行处理。</w:t>
            </w:r>
          </w:p>
        </w:tc>
      </w:tr>
      <w:tr w14:paraId="540A89F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0E4BB03E">
            <w:pPr>
              <w:snapToGrid w:val="0"/>
              <w:jc w:val="center"/>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第二节</w:t>
            </w:r>
          </w:p>
          <w:p w14:paraId="1FD849F0">
            <w:pPr>
              <w:pStyle w:val="21"/>
              <w:ind w:firstLine="0" w:firstLineChars="0"/>
              <w:jc w:val="center"/>
              <w:rPr>
                <w:rFonts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第11.1款</w:t>
            </w:r>
          </w:p>
        </w:tc>
        <w:tc>
          <w:tcPr>
            <w:tcW w:w="1742" w:type="dxa"/>
            <w:vAlign w:val="center"/>
          </w:tcPr>
          <w:p w14:paraId="54C128E0">
            <w:pPr>
              <w:adjustRightInd w:val="0"/>
              <w:snapToGrid w:val="0"/>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其他应当保密的信息</w:t>
            </w:r>
          </w:p>
        </w:tc>
        <w:tc>
          <w:tcPr>
            <w:tcW w:w="6000" w:type="dxa"/>
            <w:vAlign w:val="center"/>
          </w:tcPr>
          <w:p w14:paraId="1C19CA11">
            <w:pPr>
              <w:adjustRightInd w:val="0"/>
              <w:snapToGrid w:val="0"/>
              <w:rPr>
                <w:rFonts w:hint="default" w:ascii="仿宋_GB2312" w:hAnsi="仿宋_GB2312" w:eastAsia="仿宋_GB2312" w:cs="仿宋_GB2312"/>
                <w:sz w:val="24"/>
                <w:highlight w:val="none"/>
                <w:lang w:val="en-US" w:eastAsia="zh-CN"/>
              </w:rPr>
            </w:pPr>
            <w:r>
              <w:rPr>
                <w:rFonts w:hint="eastAsia" w:ascii="仿宋_GB2312" w:hAnsi="仿宋_GB2312" w:eastAsia="仿宋_GB2312" w:cs="仿宋_GB2312"/>
                <w:sz w:val="24"/>
                <w:highlight w:val="none"/>
                <w:lang w:val="en-US" w:eastAsia="zh-CN"/>
              </w:rPr>
              <w:t>乙方应对甲方相关数据、文件等信息严格保密，保证不向任何第三方泄露甲方任何信息，保密期限为永久。</w:t>
            </w:r>
          </w:p>
        </w:tc>
      </w:tr>
      <w:tr w14:paraId="22CAD6F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vAlign w:val="center"/>
          </w:tcPr>
          <w:p w14:paraId="7DA3452D">
            <w:pPr>
              <w:adjustRightInd w:val="0"/>
              <w:snapToGrid w:val="0"/>
              <w:jc w:val="center"/>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第二节</w:t>
            </w:r>
          </w:p>
          <w:p w14:paraId="66E0CC3F">
            <w:pPr>
              <w:adjustRightInd w:val="0"/>
              <w:snapToGrid w:val="0"/>
              <w:jc w:val="center"/>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第12.2款</w:t>
            </w:r>
          </w:p>
        </w:tc>
        <w:tc>
          <w:tcPr>
            <w:tcW w:w="1742" w:type="dxa"/>
            <w:vAlign w:val="center"/>
          </w:tcPr>
          <w:p w14:paraId="13E4BE95">
            <w:pPr>
              <w:adjustRightInd w:val="0"/>
              <w:snapToGrid w:val="0"/>
              <w:jc w:val="left"/>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合同价款支付时间</w:t>
            </w:r>
          </w:p>
        </w:tc>
        <w:tc>
          <w:tcPr>
            <w:tcW w:w="6000" w:type="dxa"/>
            <w:vAlign w:val="center"/>
          </w:tcPr>
          <w:p w14:paraId="530A5843">
            <w:pPr>
              <w:adjustRightInd w:val="0"/>
              <w:snapToGrid w:val="0"/>
              <w:jc w:val="left"/>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1.付款方式：</w:t>
            </w:r>
            <w:r>
              <w:rPr>
                <w:rFonts w:hint="eastAsia" w:ascii="仿宋_GB2312" w:hAnsi="仿宋_GB2312" w:eastAsia="仿宋_GB2312" w:cs="仿宋_GB2312"/>
                <w:sz w:val="24"/>
                <w:highlight w:val="none"/>
                <w:lang w:eastAsia="zh-CN"/>
              </w:rPr>
              <w:t>以中标单价为依据，按实际配送量据实结算。中标人将货物送达采购人指定地点，货物验收无质量问题后30日内支付对应批次货款，项目累计结算上限金额为项目预算228.40万元。</w:t>
            </w:r>
          </w:p>
          <w:p w14:paraId="699B256E">
            <w:pPr>
              <w:adjustRightInd w:val="0"/>
              <w:snapToGrid w:val="0"/>
              <w:jc w:val="left"/>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2.支付方式：银行转帐</w:t>
            </w:r>
          </w:p>
          <w:p w14:paraId="67B68A8B">
            <w:pPr>
              <w:adjustRightInd w:val="0"/>
              <w:snapToGrid w:val="0"/>
              <w:jc w:val="left"/>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3.结算要求：必须符合“一票”或者“两票”的要求。</w:t>
            </w:r>
          </w:p>
        </w:tc>
      </w:tr>
      <w:tr w14:paraId="22AE134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vAlign w:val="center"/>
          </w:tcPr>
          <w:p w14:paraId="1D256DF1">
            <w:pPr>
              <w:adjustRightInd w:val="0"/>
              <w:snapToGrid w:val="0"/>
              <w:jc w:val="center"/>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第二节</w:t>
            </w:r>
          </w:p>
          <w:p w14:paraId="3D6B5F55">
            <w:pPr>
              <w:adjustRightInd w:val="0"/>
              <w:snapToGrid w:val="0"/>
              <w:jc w:val="center"/>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第13.2款</w:t>
            </w:r>
          </w:p>
        </w:tc>
        <w:tc>
          <w:tcPr>
            <w:tcW w:w="1742" w:type="dxa"/>
            <w:vAlign w:val="center"/>
          </w:tcPr>
          <w:p w14:paraId="3405A53C">
            <w:pPr>
              <w:adjustRightInd w:val="0"/>
              <w:snapToGrid w:val="0"/>
              <w:jc w:val="left"/>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履约保证金不予退还的情形</w:t>
            </w:r>
          </w:p>
        </w:tc>
        <w:tc>
          <w:tcPr>
            <w:tcW w:w="6000" w:type="dxa"/>
            <w:vAlign w:val="center"/>
          </w:tcPr>
          <w:p w14:paraId="481D4A5E">
            <w:pPr>
              <w:adjustRightInd w:val="0"/>
              <w:snapToGrid w:val="0"/>
              <w:jc w:val="left"/>
              <w:rPr>
                <w:rFonts w:ascii="仿宋_GB2312" w:hAnsi="仿宋_GB2312" w:eastAsia="仿宋_GB2312" w:cs="仿宋_GB2312"/>
                <w:sz w:val="24"/>
                <w:highlight w:val="none"/>
              </w:rPr>
            </w:pPr>
          </w:p>
        </w:tc>
      </w:tr>
      <w:tr w14:paraId="00CCDE8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4D254E6C">
            <w:pPr>
              <w:adjustRightInd w:val="0"/>
              <w:snapToGrid w:val="0"/>
              <w:jc w:val="center"/>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第二节</w:t>
            </w:r>
          </w:p>
          <w:p w14:paraId="781FB0C8">
            <w:pPr>
              <w:adjustRightInd w:val="0"/>
              <w:snapToGrid w:val="0"/>
              <w:jc w:val="center"/>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第13.3款</w:t>
            </w:r>
          </w:p>
        </w:tc>
        <w:tc>
          <w:tcPr>
            <w:tcW w:w="1742" w:type="dxa"/>
            <w:vAlign w:val="center"/>
          </w:tcPr>
          <w:p w14:paraId="0A3E11C5">
            <w:pPr>
              <w:adjustRightInd w:val="0"/>
              <w:snapToGrid w:val="0"/>
              <w:jc w:val="left"/>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履约保证金退还时间及逾期退还的违约金</w:t>
            </w:r>
          </w:p>
        </w:tc>
        <w:tc>
          <w:tcPr>
            <w:tcW w:w="6000" w:type="dxa"/>
            <w:vAlign w:val="center"/>
          </w:tcPr>
          <w:p w14:paraId="2F172EB8">
            <w:pPr>
              <w:adjustRightInd w:val="0"/>
              <w:snapToGrid w:val="0"/>
              <w:jc w:val="left"/>
              <w:rPr>
                <w:rFonts w:ascii="仿宋_GB2312" w:hAnsi="仿宋_GB2312" w:eastAsia="仿宋_GB2312" w:cs="仿宋_GB2312"/>
                <w:sz w:val="24"/>
                <w:highlight w:val="none"/>
              </w:rPr>
            </w:pPr>
          </w:p>
        </w:tc>
      </w:tr>
      <w:tr w14:paraId="3B8CAD3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vAlign w:val="center"/>
          </w:tcPr>
          <w:p w14:paraId="20EF152F">
            <w:pPr>
              <w:adjustRightInd w:val="0"/>
              <w:snapToGrid w:val="0"/>
              <w:jc w:val="center"/>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第二节</w:t>
            </w:r>
          </w:p>
          <w:p w14:paraId="6A35B75C">
            <w:pPr>
              <w:adjustRightInd w:val="0"/>
              <w:snapToGrid w:val="0"/>
              <w:jc w:val="center"/>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第14.1（3）项</w:t>
            </w:r>
          </w:p>
        </w:tc>
        <w:tc>
          <w:tcPr>
            <w:tcW w:w="1742" w:type="dxa"/>
            <w:vAlign w:val="center"/>
          </w:tcPr>
          <w:p w14:paraId="6EFBC302">
            <w:pPr>
              <w:adjustRightInd w:val="0"/>
              <w:snapToGrid w:val="0"/>
              <w:jc w:val="left"/>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运行监督、维修期限</w:t>
            </w:r>
          </w:p>
        </w:tc>
        <w:tc>
          <w:tcPr>
            <w:tcW w:w="6000" w:type="dxa"/>
            <w:vAlign w:val="center"/>
          </w:tcPr>
          <w:p w14:paraId="784AE320">
            <w:pPr>
              <w:autoSpaceDE w:val="0"/>
              <w:autoSpaceDN w:val="0"/>
              <w:adjustRightInd w:val="0"/>
              <w:snapToGrid w:val="0"/>
              <w:spacing w:line="400" w:lineRule="exact"/>
              <w:jc w:val="left"/>
              <w:rPr>
                <w:rFonts w:hint="eastAsia" w:ascii="仿宋_GB2312" w:hAnsi="仿宋_GB2312" w:eastAsia="仿宋_GB2312" w:cs="仿宋_GB2312"/>
                <w:sz w:val="24"/>
                <w:highlight w:val="none"/>
                <w:lang w:eastAsia="zh-CN"/>
              </w:rPr>
            </w:pPr>
          </w:p>
        </w:tc>
      </w:tr>
      <w:tr w14:paraId="726F27D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vAlign w:val="center"/>
          </w:tcPr>
          <w:p w14:paraId="2DB7C4A1">
            <w:pPr>
              <w:adjustRightInd w:val="0"/>
              <w:snapToGrid w:val="0"/>
              <w:jc w:val="center"/>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第二节</w:t>
            </w:r>
          </w:p>
          <w:p w14:paraId="08F0C408">
            <w:pPr>
              <w:adjustRightInd w:val="0"/>
              <w:snapToGrid w:val="0"/>
              <w:jc w:val="center"/>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第14.1（5）项</w:t>
            </w:r>
          </w:p>
        </w:tc>
        <w:tc>
          <w:tcPr>
            <w:tcW w:w="1742" w:type="dxa"/>
            <w:vAlign w:val="center"/>
          </w:tcPr>
          <w:p w14:paraId="7FA0A91D">
            <w:pPr>
              <w:adjustRightInd w:val="0"/>
              <w:snapToGrid w:val="0"/>
              <w:jc w:val="left"/>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货物回收的约定</w:t>
            </w:r>
          </w:p>
        </w:tc>
        <w:tc>
          <w:tcPr>
            <w:tcW w:w="6000" w:type="dxa"/>
            <w:vAlign w:val="center"/>
          </w:tcPr>
          <w:p w14:paraId="01B5070B">
            <w:pPr>
              <w:pStyle w:val="21"/>
              <w:ind w:firstLine="0" w:firstLineChars="0"/>
              <w:rPr>
                <w:rFonts w:ascii="仿宋_GB2312" w:hAnsi="仿宋_GB2312" w:eastAsia="仿宋_GB2312" w:cs="仿宋_GB2312"/>
                <w:sz w:val="24"/>
                <w:szCs w:val="24"/>
                <w:highlight w:val="none"/>
              </w:rPr>
            </w:pPr>
          </w:p>
        </w:tc>
      </w:tr>
      <w:tr w14:paraId="536B3B2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51107B0A">
            <w:pPr>
              <w:adjustRightInd w:val="0"/>
              <w:snapToGrid w:val="0"/>
              <w:jc w:val="center"/>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第二节</w:t>
            </w:r>
          </w:p>
          <w:p w14:paraId="460748BF">
            <w:pPr>
              <w:adjustRightInd w:val="0"/>
              <w:snapToGrid w:val="0"/>
              <w:jc w:val="center"/>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第14.1（6）项</w:t>
            </w:r>
          </w:p>
        </w:tc>
        <w:tc>
          <w:tcPr>
            <w:tcW w:w="1742" w:type="dxa"/>
            <w:vAlign w:val="center"/>
          </w:tcPr>
          <w:p w14:paraId="45FEA781">
            <w:pPr>
              <w:adjustRightInd w:val="0"/>
              <w:snapToGrid w:val="0"/>
              <w:jc w:val="left"/>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乙方提供的其他服务</w:t>
            </w:r>
          </w:p>
        </w:tc>
        <w:tc>
          <w:tcPr>
            <w:tcW w:w="6000" w:type="dxa"/>
            <w:vAlign w:val="center"/>
          </w:tcPr>
          <w:p w14:paraId="58FFF79B">
            <w:pPr>
              <w:adjustRightInd w:val="0"/>
              <w:snapToGrid w:val="0"/>
              <w:jc w:val="left"/>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乙方具有可靠的售后服务机构，保障耗材的售后服务。</w:t>
            </w:r>
          </w:p>
          <w:p w14:paraId="32F60DF5">
            <w:pPr>
              <w:adjustRightInd w:val="0"/>
              <w:snapToGrid w:val="0"/>
              <w:jc w:val="left"/>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（一）乙方对耗材提供售后服务保障。除甲方在招标文件和乙方在投标文件中承诺的服务方式和内容外，还包括乙方在招标现场澄清及承诺的服务。</w:t>
            </w:r>
          </w:p>
          <w:p w14:paraId="33B7DB76">
            <w:pPr>
              <w:adjustRightInd w:val="0"/>
              <w:snapToGrid w:val="0"/>
              <w:jc w:val="left"/>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二）耗材质量保证。乙方须对供应的货物质量全过程负责。若可能发生涉及耗材质量的医患纠纷，甲方有权冻结乙方的未付货款，乙方有责任和义务解决关于耗材质量方面的疑问；在纠纷未解决且不能排除耗材因素前，甲方有权直接从冻结货款中支出患者的医疗费用等。</w:t>
            </w:r>
          </w:p>
          <w:p w14:paraId="014D827F">
            <w:pPr>
              <w:adjustRightInd w:val="0"/>
              <w:snapToGrid w:val="0"/>
              <w:jc w:val="left"/>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（三）培训操作人员。</w:t>
            </w:r>
          </w:p>
          <w:p w14:paraId="560BF1F4">
            <w:pPr>
              <w:adjustRightInd w:val="0"/>
              <w:snapToGrid w:val="0"/>
              <w:jc w:val="left"/>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（四）提供7x24小时技术支持，在接到故障通知后</w:t>
            </w:r>
            <w:r>
              <w:rPr>
                <w:rFonts w:hint="eastAsia" w:ascii="仿宋_GB2312" w:hAnsi="仿宋_GB2312" w:eastAsia="仿宋_GB2312" w:cs="仿宋_GB2312"/>
                <w:sz w:val="24"/>
                <w:highlight w:val="none"/>
                <w:lang w:val="en-US" w:eastAsia="zh-CN"/>
              </w:rPr>
              <w:t>2</w:t>
            </w:r>
            <w:r>
              <w:rPr>
                <w:rFonts w:hint="eastAsia" w:ascii="仿宋_GB2312" w:hAnsi="仿宋_GB2312" w:eastAsia="仿宋_GB2312" w:cs="仿宋_GB2312"/>
                <w:sz w:val="24"/>
                <w:highlight w:val="none"/>
              </w:rPr>
              <w:t>小时内作出有效响应。对于无法远程解决的故障，确保工程师在24小时内到达用户现场进行处理。</w:t>
            </w:r>
          </w:p>
        </w:tc>
      </w:tr>
      <w:tr w14:paraId="1EDC0DE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14639250">
            <w:pPr>
              <w:adjustRightInd w:val="0"/>
              <w:snapToGrid w:val="0"/>
              <w:jc w:val="center"/>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第二节</w:t>
            </w:r>
          </w:p>
          <w:p w14:paraId="0CC68DB4">
            <w:pPr>
              <w:adjustRightInd w:val="0"/>
              <w:snapToGrid w:val="0"/>
              <w:jc w:val="center"/>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第15.1款</w:t>
            </w:r>
          </w:p>
        </w:tc>
        <w:tc>
          <w:tcPr>
            <w:tcW w:w="1742" w:type="dxa"/>
            <w:vAlign w:val="center"/>
          </w:tcPr>
          <w:p w14:paraId="2969B8C2">
            <w:pPr>
              <w:adjustRightInd w:val="0"/>
              <w:snapToGrid w:val="0"/>
              <w:jc w:val="left"/>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修理、重作、更换相关具体规定</w:t>
            </w:r>
          </w:p>
        </w:tc>
        <w:tc>
          <w:tcPr>
            <w:tcW w:w="6000" w:type="dxa"/>
            <w:vAlign w:val="center"/>
          </w:tcPr>
          <w:p w14:paraId="63580AC3">
            <w:pPr>
              <w:autoSpaceDE w:val="0"/>
              <w:autoSpaceDN w:val="0"/>
              <w:adjustRightInd w:val="0"/>
              <w:snapToGrid w:val="0"/>
              <w:spacing w:line="400" w:lineRule="exact"/>
              <w:jc w:val="left"/>
              <w:rPr>
                <w:rFonts w:ascii="仿宋_GB2312" w:hAnsi="仿宋_GB2312" w:eastAsia="仿宋_GB2312" w:cs="仿宋_GB2312"/>
                <w:sz w:val="24"/>
                <w:highlight w:val="none"/>
              </w:rPr>
            </w:pPr>
          </w:p>
        </w:tc>
      </w:tr>
      <w:tr w14:paraId="575E827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446CB992">
            <w:pPr>
              <w:adjustRightInd w:val="0"/>
              <w:snapToGrid w:val="0"/>
              <w:jc w:val="center"/>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第二节</w:t>
            </w:r>
          </w:p>
          <w:p w14:paraId="12E96AAB">
            <w:pPr>
              <w:adjustRightInd w:val="0"/>
              <w:snapToGrid w:val="0"/>
              <w:jc w:val="center"/>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第15.2（2）项</w:t>
            </w:r>
          </w:p>
        </w:tc>
        <w:tc>
          <w:tcPr>
            <w:tcW w:w="1742" w:type="dxa"/>
            <w:vAlign w:val="center"/>
          </w:tcPr>
          <w:p w14:paraId="08663485">
            <w:pPr>
              <w:adjustRightInd w:val="0"/>
              <w:snapToGrid w:val="0"/>
              <w:jc w:val="left"/>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迟延交货赔偿费</w:t>
            </w:r>
          </w:p>
        </w:tc>
        <w:tc>
          <w:tcPr>
            <w:tcW w:w="6000" w:type="dxa"/>
            <w:vAlign w:val="center"/>
          </w:tcPr>
          <w:p w14:paraId="593EEDE8">
            <w:pPr>
              <w:tabs>
                <w:tab w:val="left" w:pos="480"/>
              </w:tabs>
              <w:spacing w:line="440" w:lineRule="exact"/>
              <w:rPr>
                <w:rFonts w:ascii="仿宋_GB2312" w:hAnsi="仿宋_GB2312" w:eastAsia="仿宋_GB2312" w:cs="仿宋_GB2312"/>
                <w:sz w:val="24"/>
                <w:highlight w:val="none"/>
              </w:rPr>
            </w:pPr>
          </w:p>
        </w:tc>
      </w:tr>
      <w:tr w14:paraId="6F92F74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568EA2D5">
            <w:pPr>
              <w:adjustRightInd w:val="0"/>
              <w:snapToGrid w:val="0"/>
              <w:jc w:val="center"/>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第二节</w:t>
            </w:r>
          </w:p>
          <w:p w14:paraId="65F241AE">
            <w:pPr>
              <w:adjustRightInd w:val="0"/>
              <w:snapToGrid w:val="0"/>
              <w:jc w:val="center"/>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第15.3款</w:t>
            </w:r>
          </w:p>
        </w:tc>
        <w:tc>
          <w:tcPr>
            <w:tcW w:w="1742" w:type="dxa"/>
            <w:vAlign w:val="center"/>
          </w:tcPr>
          <w:p w14:paraId="4F8725B0">
            <w:pPr>
              <w:adjustRightInd w:val="0"/>
              <w:snapToGrid w:val="0"/>
              <w:jc w:val="left"/>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逾期付款利息</w:t>
            </w:r>
          </w:p>
        </w:tc>
        <w:tc>
          <w:tcPr>
            <w:tcW w:w="6000" w:type="dxa"/>
            <w:vAlign w:val="center"/>
          </w:tcPr>
          <w:p w14:paraId="15489F71">
            <w:pPr>
              <w:adjustRightInd w:val="0"/>
              <w:snapToGrid w:val="0"/>
              <w:jc w:val="left"/>
              <w:rPr>
                <w:rFonts w:ascii="仿宋_GB2312" w:hAnsi="仿宋_GB2312" w:eastAsia="仿宋_GB2312" w:cs="仿宋_GB2312"/>
                <w:sz w:val="24"/>
                <w:highlight w:val="none"/>
                <w:u w:val="single"/>
              </w:rPr>
            </w:pPr>
          </w:p>
        </w:tc>
      </w:tr>
      <w:tr w14:paraId="3CDD7D8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76" w:hRule="atLeast"/>
        </w:trPr>
        <w:tc>
          <w:tcPr>
            <w:tcW w:w="1607" w:type="dxa"/>
            <w:tcBorders>
              <w:bottom w:val="single" w:color="auto" w:sz="2" w:space="0"/>
              <w:right w:val="single" w:color="auto" w:sz="2" w:space="0"/>
            </w:tcBorders>
            <w:vAlign w:val="center"/>
          </w:tcPr>
          <w:p w14:paraId="72C55A15">
            <w:pPr>
              <w:adjustRightInd w:val="0"/>
              <w:snapToGrid w:val="0"/>
              <w:jc w:val="center"/>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第二节</w:t>
            </w:r>
          </w:p>
          <w:p w14:paraId="1046D2BA">
            <w:pPr>
              <w:adjustRightInd w:val="0"/>
              <w:snapToGrid w:val="0"/>
              <w:jc w:val="center"/>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第15.4款</w:t>
            </w:r>
          </w:p>
        </w:tc>
        <w:tc>
          <w:tcPr>
            <w:tcW w:w="1742" w:type="dxa"/>
            <w:tcBorders>
              <w:left w:val="single" w:color="auto" w:sz="2" w:space="0"/>
              <w:bottom w:val="single" w:color="auto" w:sz="2" w:space="0"/>
              <w:right w:val="single" w:color="auto" w:sz="2" w:space="0"/>
            </w:tcBorders>
            <w:vAlign w:val="center"/>
          </w:tcPr>
          <w:p w14:paraId="39FEE6B6">
            <w:pPr>
              <w:adjustRightInd w:val="0"/>
              <w:snapToGrid w:val="0"/>
              <w:jc w:val="left"/>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其他违约责任</w:t>
            </w:r>
          </w:p>
        </w:tc>
        <w:tc>
          <w:tcPr>
            <w:tcW w:w="6000" w:type="dxa"/>
            <w:tcBorders>
              <w:left w:val="single" w:color="auto" w:sz="2" w:space="0"/>
              <w:bottom w:val="single" w:color="auto" w:sz="2" w:space="0"/>
            </w:tcBorders>
            <w:vAlign w:val="center"/>
          </w:tcPr>
          <w:p w14:paraId="5782ACEC">
            <w:pPr>
              <w:adjustRightInd w:val="0"/>
              <w:snapToGrid w:val="0"/>
              <w:jc w:val="left"/>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乙方所提供的产品不符合合同约定标准、质量未达到技术参数要求的，甲方有权单方解除本合同，乙方应向甲方支付</w:t>
            </w:r>
            <w:r>
              <w:rPr>
                <w:rFonts w:hint="eastAsia" w:ascii="仿宋_GB2312" w:hAnsi="仿宋_GB2312" w:eastAsia="仿宋_GB2312" w:cs="仿宋_GB2312"/>
                <w:sz w:val="24"/>
                <w:highlight w:val="none"/>
                <w:lang w:eastAsia="zh-CN"/>
              </w:rPr>
              <w:t>项目预算金额</w:t>
            </w:r>
            <w:r>
              <w:rPr>
                <w:rFonts w:hint="eastAsia" w:ascii="仿宋_GB2312" w:hAnsi="仿宋_GB2312" w:eastAsia="仿宋_GB2312" w:cs="仿宋_GB2312"/>
                <w:sz w:val="24"/>
                <w:highlight w:val="none"/>
              </w:rPr>
              <w:t>20%的违约金；若违约金不足以弥补甲方实际损失的，乙方仍应就不足部分予以赔偿。</w:t>
            </w:r>
          </w:p>
        </w:tc>
      </w:tr>
      <w:tr w14:paraId="72323C6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607" w:type="dxa"/>
            <w:tcBorders>
              <w:top w:val="single" w:color="auto" w:sz="2" w:space="0"/>
              <w:right w:val="single" w:color="auto" w:sz="2" w:space="0"/>
            </w:tcBorders>
            <w:vAlign w:val="center"/>
          </w:tcPr>
          <w:p w14:paraId="7EF7572F">
            <w:pPr>
              <w:adjustRightInd w:val="0"/>
              <w:snapToGrid w:val="0"/>
              <w:jc w:val="center"/>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第二节</w:t>
            </w:r>
          </w:p>
          <w:p w14:paraId="201313A7">
            <w:pPr>
              <w:adjustRightInd w:val="0"/>
              <w:snapToGrid w:val="0"/>
              <w:jc w:val="center"/>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第19.2款</w:t>
            </w:r>
          </w:p>
        </w:tc>
        <w:tc>
          <w:tcPr>
            <w:tcW w:w="1742" w:type="dxa"/>
            <w:tcBorders>
              <w:top w:val="single" w:color="auto" w:sz="2" w:space="0"/>
              <w:left w:val="single" w:color="auto" w:sz="2" w:space="0"/>
              <w:right w:val="single" w:color="auto" w:sz="2" w:space="0"/>
            </w:tcBorders>
            <w:vAlign w:val="center"/>
          </w:tcPr>
          <w:p w14:paraId="618844AA">
            <w:pPr>
              <w:adjustRightInd w:val="0"/>
              <w:snapToGrid w:val="0"/>
              <w:jc w:val="left"/>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解决争议的方法</w:t>
            </w:r>
          </w:p>
        </w:tc>
        <w:tc>
          <w:tcPr>
            <w:tcW w:w="6000" w:type="dxa"/>
            <w:tcBorders>
              <w:top w:val="single" w:color="auto" w:sz="2" w:space="0"/>
              <w:left w:val="single" w:color="auto" w:sz="2" w:space="0"/>
            </w:tcBorders>
            <w:vAlign w:val="center"/>
          </w:tcPr>
          <w:p w14:paraId="021338E5">
            <w:pPr>
              <w:autoSpaceDE w:val="0"/>
              <w:autoSpaceDN w:val="0"/>
              <w:adjustRightInd w:val="0"/>
              <w:snapToGrid w:val="0"/>
              <w:spacing w:line="400" w:lineRule="exact"/>
              <w:jc w:val="left"/>
              <w:rPr>
                <w:rFonts w:ascii="仿宋_GB2312" w:hAnsi="仿宋_GB2312" w:eastAsia="仿宋_GB2312" w:cs="仿宋_GB2312"/>
                <w:iCs/>
                <w:sz w:val="24"/>
                <w:highlight w:val="none"/>
              </w:rPr>
            </w:pPr>
            <w:r>
              <w:rPr>
                <w:rFonts w:hint="eastAsia" w:ascii="仿宋_GB2312" w:hAnsi="仿宋_GB2312" w:eastAsia="仿宋_GB2312" w:cs="仿宋_GB2312"/>
                <w:iCs/>
                <w:sz w:val="24"/>
                <w:highlight w:val="none"/>
              </w:rPr>
              <w:t>因本合同及合同有关事项发生的争议，按下列第</w:t>
            </w:r>
            <w:r>
              <w:rPr>
                <w:rFonts w:hint="eastAsia" w:ascii="仿宋_GB2312" w:hAnsi="仿宋_GB2312" w:eastAsia="仿宋_GB2312" w:cs="仿宋_GB2312"/>
                <w:iCs/>
                <w:sz w:val="24"/>
                <w:highlight w:val="none"/>
                <w:u w:val="single"/>
              </w:rPr>
              <w:t xml:space="preserve"> 2 </w:t>
            </w:r>
            <w:r>
              <w:rPr>
                <w:rFonts w:hint="eastAsia" w:ascii="仿宋_GB2312" w:hAnsi="仿宋_GB2312" w:eastAsia="仿宋_GB2312" w:cs="仿宋_GB2312"/>
                <w:iCs/>
                <w:sz w:val="24"/>
                <w:highlight w:val="none"/>
              </w:rPr>
              <w:t>种方式解决：</w:t>
            </w:r>
          </w:p>
          <w:p w14:paraId="01119AAE">
            <w:pPr>
              <w:autoSpaceDE w:val="0"/>
              <w:autoSpaceDN w:val="0"/>
              <w:adjustRightInd w:val="0"/>
              <w:snapToGrid w:val="0"/>
              <w:spacing w:line="400" w:lineRule="exact"/>
              <w:jc w:val="left"/>
              <w:rPr>
                <w:rFonts w:ascii="仿宋_GB2312" w:hAnsi="仿宋_GB2312" w:eastAsia="仿宋_GB2312" w:cs="仿宋_GB2312"/>
                <w:iCs/>
                <w:sz w:val="24"/>
                <w:highlight w:val="none"/>
              </w:rPr>
            </w:pPr>
            <w:r>
              <w:rPr>
                <w:rFonts w:hint="eastAsia" w:ascii="仿宋_GB2312" w:hAnsi="仿宋_GB2312" w:eastAsia="仿宋_GB2312" w:cs="仿宋_GB2312"/>
                <w:iCs/>
                <w:sz w:val="24"/>
                <w:highlight w:val="none"/>
              </w:rPr>
              <w:t>（1）向</w:t>
            </w:r>
            <w:r>
              <w:rPr>
                <w:rFonts w:hint="eastAsia" w:ascii="仿宋_GB2312" w:hAnsi="仿宋_GB2312" w:eastAsia="仿宋_GB2312" w:cs="仿宋_GB2312"/>
                <w:iCs/>
                <w:sz w:val="24"/>
                <w:highlight w:val="none"/>
                <w:u w:val="single"/>
              </w:rPr>
              <w:t xml:space="preserve">                    </w:t>
            </w:r>
            <w:r>
              <w:rPr>
                <w:rFonts w:hint="eastAsia" w:ascii="仿宋_GB2312" w:hAnsi="仿宋_GB2312" w:eastAsia="仿宋_GB2312" w:cs="仿宋_GB2312"/>
                <w:iCs/>
                <w:sz w:val="24"/>
                <w:highlight w:val="none"/>
              </w:rPr>
              <w:t>仲裁委员会申请仲裁，仲裁地点为</w:t>
            </w:r>
            <w:r>
              <w:rPr>
                <w:rFonts w:hint="eastAsia" w:ascii="仿宋_GB2312" w:hAnsi="仿宋_GB2312" w:eastAsia="仿宋_GB2312" w:cs="仿宋_GB2312"/>
                <w:iCs/>
                <w:sz w:val="24"/>
                <w:highlight w:val="none"/>
                <w:u w:val="single"/>
              </w:rPr>
              <w:t xml:space="preserve">           </w:t>
            </w:r>
            <w:r>
              <w:rPr>
                <w:rFonts w:hint="eastAsia" w:ascii="仿宋_GB2312" w:hAnsi="仿宋_GB2312" w:eastAsia="仿宋_GB2312" w:cs="仿宋_GB2312"/>
                <w:iCs/>
                <w:sz w:val="24"/>
                <w:highlight w:val="none"/>
              </w:rPr>
              <w:t>；</w:t>
            </w:r>
          </w:p>
          <w:p w14:paraId="617B3A2C">
            <w:pPr>
              <w:adjustRightInd w:val="0"/>
              <w:snapToGrid w:val="0"/>
              <w:jc w:val="left"/>
              <w:rPr>
                <w:rFonts w:ascii="仿宋_GB2312" w:hAnsi="仿宋_GB2312" w:eastAsia="仿宋_GB2312" w:cs="仿宋_GB2312"/>
                <w:sz w:val="24"/>
                <w:highlight w:val="none"/>
                <w:u w:val="single"/>
              </w:rPr>
            </w:pPr>
            <w:r>
              <w:rPr>
                <w:rFonts w:hint="eastAsia" w:ascii="仿宋_GB2312" w:hAnsi="仿宋_GB2312" w:eastAsia="仿宋_GB2312" w:cs="仿宋_GB2312"/>
                <w:iCs/>
                <w:sz w:val="24"/>
                <w:highlight w:val="none"/>
              </w:rPr>
              <w:t>（2）向</w:t>
            </w:r>
            <w:r>
              <w:rPr>
                <w:rFonts w:hint="eastAsia" w:ascii="仿宋_GB2312" w:hAnsi="仿宋_GB2312" w:eastAsia="仿宋_GB2312" w:cs="仿宋_GB2312"/>
                <w:iCs/>
                <w:sz w:val="24"/>
                <w:highlight w:val="none"/>
                <w:u w:val="single"/>
              </w:rPr>
              <w:t xml:space="preserve">      甲方所在地       </w:t>
            </w:r>
            <w:r>
              <w:rPr>
                <w:rFonts w:hint="eastAsia" w:ascii="仿宋_GB2312" w:hAnsi="仿宋_GB2312" w:eastAsia="仿宋_GB2312" w:cs="仿宋_GB2312"/>
                <w:iCs/>
                <w:sz w:val="24"/>
                <w:highlight w:val="none"/>
              </w:rPr>
              <w:t>人民法院起诉。</w:t>
            </w:r>
          </w:p>
        </w:tc>
      </w:tr>
      <w:tr w14:paraId="7C54ADE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0" w:hRule="atLeast"/>
        </w:trPr>
        <w:tc>
          <w:tcPr>
            <w:tcW w:w="1607" w:type="dxa"/>
            <w:vAlign w:val="center"/>
          </w:tcPr>
          <w:p w14:paraId="0F9496BC">
            <w:pPr>
              <w:adjustRightInd w:val="0"/>
              <w:snapToGrid w:val="0"/>
              <w:jc w:val="center"/>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第二节</w:t>
            </w:r>
          </w:p>
          <w:p w14:paraId="031EC585">
            <w:pPr>
              <w:adjustRightInd w:val="0"/>
              <w:snapToGrid w:val="0"/>
              <w:jc w:val="center"/>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第23.1款</w:t>
            </w:r>
          </w:p>
        </w:tc>
        <w:tc>
          <w:tcPr>
            <w:tcW w:w="1742" w:type="dxa"/>
            <w:vAlign w:val="center"/>
          </w:tcPr>
          <w:p w14:paraId="54B20B4B">
            <w:pPr>
              <w:adjustRightInd w:val="0"/>
              <w:snapToGrid w:val="0"/>
              <w:jc w:val="left"/>
              <w:rPr>
                <w:rFonts w:ascii="仿宋_GB2312" w:hAnsi="仿宋_GB2312" w:eastAsia="仿宋_GB2312" w:cs="仿宋_GB2312"/>
                <w:sz w:val="24"/>
                <w:highlight w:val="none"/>
              </w:rPr>
            </w:pPr>
            <w:r>
              <w:rPr>
                <w:rFonts w:hint="eastAsia" w:ascii="仿宋_GB2312" w:hAnsi="仿宋_GB2312" w:eastAsia="仿宋_GB2312" w:cs="仿宋_GB2312"/>
                <w:bCs/>
                <w:sz w:val="24"/>
                <w:highlight w:val="none"/>
              </w:rPr>
              <w:t>其他专用条款</w:t>
            </w:r>
          </w:p>
        </w:tc>
        <w:tc>
          <w:tcPr>
            <w:tcW w:w="6000" w:type="dxa"/>
            <w:vAlign w:val="center"/>
          </w:tcPr>
          <w:p w14:paraId="3C95125B">
            <w:pPr>
              <w:adjustRightInd w:val="0"/>
              <w:snapToGrid w:val="0"/>
              <w:jc w:val="left"/>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（一）在甲方重新组织招标前，乙方在未征得甲方同意前，不得终止耗材的供应。</w:t>
            </w:r>
          </w:p>
          <w:p w14:paraId="4DA89A5B">
            <w:pPr>
              <w:adjustRightInd w:val="0"/>
              <w:snapToGrid w:val="0"/>
              <w:jc w:val="left"/>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（二）本合同若与甲方的上级管理机关的政策性行为或其他规定发生冲突，甲方有权与乙方协商调整合同内容或终止合同执行。</w:t>
            </w:r>
          </w:p>
          <w:p w14:paraId="08E9529B">
            <w:pPr>
              <w:adjustRightInd w:val="0"/>
              <w:snapToGrid w:val="0"/>
              <w:jc w:val="left"/>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（三）因为不可抗拒的因素致使合同不能履行的，或有违约争议，双方协商解决，协商不成，由甲方所在地人民法院裁决。</w:t>
            </w:r>
          </w:p>
          <w:p w14:paraId="51DAE48C">
            <w:pPr>
              <w:adjustRightInd w:val="0"/>
              <w:snapToGrid w:val="0"/>
              <w:jc w:val="left"/>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（四）招标文件、投标文件也是合同的组成部分，具有同等法律效力，合同中未约定的以招标文件、投标文件为准。</w:t>
            </w:r>
          </w:p>
        </w:tc>
      </w:tr>
    </w:tbl>
    <w:p w14:paraId="194B1657">
      <w:pPr>
        <w:keepNext w:val="0"/>
        <w:keepLines w:val="0"/>
        <w:pageBreakBefore w:val="0"/>
        <w:widowControl w:val="0"/>
        <w:kinsoku/>
        <w:wordWrap/>
        <w:overflowPunct/>
        <w:topLinePunct w:val="0"/>
        <w:bidi w:val="0"/>
        <w:spacing w:line="360" w:lineRule="auto"/>
        <w:ind w:left="0" w:leftChars="0" w:firstLine="1987" w:firstLineChars="828"/>
        <w:textAlignment w:val="auto"/>
        <w:rPr>
          <w:rFonts w:hint="eastAsia" w:ascii="仿宋_GB2312" w:hAnsi="仿宋_GB2312" w:eastAsia="仿宋_GB2312" w:cs="仿宋_GB2312"/>
          <w:sz w:val="24"/>
          <w:szCs w:val="24"/>
        </w:rPr>
      </w:pPr>
      <w:bookmarkStart w:id="6" w:name="_GoBack"/>
      <w:bookmarkEnd w:id="6"/>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360E55">
    <w:pPr>
      <w:pStyle w:val="10"/>
      <w:tabs>
        <w:tab w:val="left" w:pos="2535"/>
        <w:tab w:val="clear" w:pos="4153"/>
        <w:tab w:val="clear" w:pos="8306"/>
      </w:tabs>
      <w:rPr>
        <w:rFonts w:ascii="宋体"/>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C2BEDF">
    <w:pPr>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6BC116"/>
    <w:multiLevelType w:val="singleLevel"/>
    <w:tmpl w:val="BF6BC116"/>
    <w:lvl w:ilvl="0" w:tentative="0">
      <w:start w:val="16"/>
      <w:numFmt w:val="decimal"/>
      <w:suff w:val="space"/>
      <w:lvlText w:val="%1."/>
      <w:lvlJc w:val="left"/>
    </w:lvl>
  </w:abstractNum>
  <w:abstractNum w:abstractNumId="1">
    <w:nsid w:val="CFE7C3F8"/>
    <w:multiLevelType w:val="singleLevel"/>
    <w:tmpl w:val="CFE7C3F8"/>
    <w:lvl w:ilvl="0" w:tentative="0">
      <w:start w:val="1"/>
      <w:numFmt w:val="decimal"/>
      <w:suff w:val="nothing"/>
      <w:lvlText w:val="（%1）"/>
      <w:lvlJc w:val="left"/>
    </w:lvl>
  </w:abstractNum>
  <w:abstractNum w:abstractNumId="2">
    <w:nsid w:val="DDECD3BC"/>
    <w:multiLevelType w:val="singleLevel"/>
    <w:tmpl w:val="DDECD3BC"/>
    <w:lvl w:ilvl="0" w:tentative="0">
      <w:start w:val="6"/>
      <w:numFmt w:val="decimal"/>
      <w:suff w:val="space"/>
      <w:lvlText w:val="%1."/>
      <w:lvlJc w:val="left"/>
    </w:lvl>
  </w:abstractNum>
  <w:abstractNum w:abstractNumId="3">
    <w:nsid w:val="DE759F4B"/>
    <w:multiLevelType w:val="singleLevel"/>
    <w:tmpl w:val="DE759F4B"/>
    <w:lvl w:ilvl="0" w:tentative="0">
      <w:start w:val="2"/>
      <w:numFmt w:val="decimal"/>
      <w:suff w:val="space"/>
      <w:lvlText w:val="%1."/>
      <w:lvlJc w:val="left"/>
    </w:lvl>
  </w:abstractNum>
  <w:abstractNum w:abstractNumId="4">
    <w:nsid w:val="DEABE1DB"/>
    <w:multiLevelType w:val="singleLevel"/>
    <w:tmpl w:val="DEABE1DB"/>
    <w:lvl w:ilvl="0" w:tentative="0">
      <w:start w:val="23"/>
      <w:numFmt w:val="decimal"/>
      <w:suff w:val="space"/>
      <w:lvlText w:val="%1."/>
      <w:lvlJc w:val="left"/>
    </w:lvl>
  </w:abstractNum>
  <w:abstractNum w:abstractNumId="5">
    <w:nsid w:val="ED00BE0B"/>
    <w:multiLevelType w:val="singleLevel"/>
    <w:tmpl w:val="ED00BE0B"/>
    <w:lvl w:ilvl="0" w:tentative="0">
      <w:start w:val="4"/>
      <w:numFmt w:val="decimal"/>
      <w:suff w:val="nothing"/>
      <w:lvlText w:val="（%1）"/>
      <w:lvlJc w:val="left"/>
    </w:lvl>
  </w:abstractNum>
  <w:abstractNum w:abstractNumId="6">
    <w:nsid w:val="FFEFC674"/>
    <w:multiLevelType w:val="singleLevel"/>
    <w:tmpl w:val="FFEFC674"/>
    <w:lvl w:ilvl="0" w:tentative="0">
      <w:start w:val="1"/>
      <w:numFmt w:val="decimal"/>
      <w:suff w:val="nothing"/>
      <w:lvlText w:val="（%1）"/>
      <w:lvlJc w:val="left"/>
    </w:lvl>
  </w:abstractNum>
  <w:abstractNum w:abstractNumId="7">
    <w:nsid w:val="023016A8"/>
    <w:multiLevelType w:val="singleLevel"/>
    <w:tmpl w:val="023016A8"/>
    <w:lvl w:ilvl="0" w:tentative="0">
      <w:start w:val="4"/>
      <w:numFmt w:val="decimal"/>
      <w:suff w:val="nothing"/>
      <w:lvlText w:val="（%1）"/>
      <w:lvlJc w:val="left"/>
    </w:lvl>
  </w:abstractNum>
  <w:num w:numId="1">
    <w:abstractNumId w:val="1"/>
  </w:num>
  <w:num w:numId="2">
    <w:abstractNumId w:val="7"/>
  </w:num>
  <w:num w:numId="3">
    <w:abstractNumId w:val="6"/>
  </w:num>
  <w:num w:numId="4">
    <w:abstractNumId w:val="5"/>
  </w:num>
  <w:num w:numId="5">
    <w:abstractNumId w:val="3"/>
  </w:num>
  <w:num w:numId="6">
    <w:abstractNumId w:val="2"/>
  </w:num>
  <w:num w:numId="7">
    <w:abstractNumId w:val="0"/>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MxNWU5MTM1NDJhMzM3NzZlNjAyMmRiMjcyMmY4OWYifQ=="/>
  </w:docVars>
  <w:rsids>
    <w:rsidRoot w:val="00000000"/>
    <w:rsid w:val="01091F26"/>
    <w:rsid w:val="029C1412"/>
    <w:rsid w:val="04675137"/>
    <w:rsid w:val="047E2BDC"/>
    <w:rsid w:val="04AD7ABA"/>
    <w:rsid w:val="07554228"/>
    <w:rsid w:val="076E1A01"/>
    <w:rsid w:val="08B82EF3"/>
    <w:rsid w:val="0CA43C19"/>
    <w:rsid w:val="0F8D4F2A"/>
    <w:rsid w:val="14B37887"/>
    <w:rsid w:val="186634AC"/>
    <w:rsid w:val="1E8D5F3B"/>
    <w:rsid w:val="20045859"/>
    <w:rsid w:val="21206781"/>
    <w:rsid w:val="22AF0896"/>
    <w:rsid w:val="22FB2867"/>
    <w:rsid w:val="22FE48A1"/>
    <w:rsid w:val="23002CC8"/>
    <w:rsid w:val="238B6EE2"/>
    <w:rsid w:val="27490CAE"/>
    <w:rsid w:val="27E25577"/>
    <w:rsid w:val="29E259F5"/>
    <w:rsid w:val="2A3777B9"/>
    <w:rsid w:val="2CF40789"/>
    <w:rsid w:val="2D23061C"/>
    <w:rsid w:val="2DB155D6"/>
    <w:rsid w:val="2F193C67"/>
    <w:rsid w:val="30332969"/>
    <w:rsid w:val="305425A9"/>
    <w:rsid w:val="32F94991"/>
    <w:rsid w:val="34651AF2"/>
    <w:rsid w:val="349A62B5"/>
    <w:rsid w:val="34FC549D"/>
    <w:rsid w:val="366E3E9D"/>
    <w:rsid w:val="3A102E54"/>
    <w:rsid w:val="3B6E0E98"/>
    <w:rsid w:val="3DF24001"/>
    <w:rsid w:val="435720D9"/>
    <w:rsid w:val="459B04FB"/>
    <w:rsid w:val="46784A78"/>
    <w:rsid w:val="475F17EC"/>
    <w:rsid w:val="4B7C075F"/>
    <w:rsid w:val="4CD90F3B"/>
    <w:rsid w:val="4D6132AA"/>
    <w:rsid w:val="4E0B7D9B"/>
    <w:rsid w:val="50CA2930"/>
    <w:rsid w:val="580E00F7"/>
    <w:rsid w:val="58907E91"/>
    <w:rsid w:val="58DF3ACC"/>
    <w:rsid w:val="59C3741A"/>
    <w:rsid w:val="5A081409"/>
    <w:rsid w:val="5B1E7567"/>
    <w:rsid w:val="5C440896"/>
    <w:rsid w:val="623C6124"/>
    <w:rsid w:val="68FC4253"/>
    <w:rsid w:val="690A53D6"/>
    <w:rsid w:val="6AF83D38"/>
    <w:rsid w:val="6C2D37DA"/>
    <w:rsid w:val="6E4E7318"/>
    <w:rsid w:val="6F2463D6"/>
    <w:rsid w:val="714C1C39"/>
    <w:rsid w:val="72C57A7D"/>
    <w:rsid w:val="7312139A"/>
    <w:rsid w:val="773B10EA"/>
    <w:rsid w:val="78571E88"/>
    <w:rsid w:val="78F637DD"/>
    <w:rsid w:val="796F43B3"/>
    <w:rsid w:val="7B864284"/>
    <w:rsid w:val="7BBB198C"/>
    <w:rsid w:val="7CA10B3D"/>
    <w:rsid w:val="7CEB4E65"/>
    <w:rsid w:val="7DA90C1F"/>
    <w:rsid w:val="7E342B22"/>
    <w:rsid w:val="7EC62364"/>
    <w:rsid w:val="7EF377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16"/>
    <w:qFormat/>
    <w:uiPriority w:val="0"/>
    <w:pPr>
      <w:keepNext/>
      <w:widowControl w:val="0"/>
      <w:jc w:val="center"/>
      <w:outlineLvl w:val="0"/>
    </w:pPr>
    <w:rPr>
      <w:rFonts w:ascii="黑体" w:eastAsia="黑体"/>
      <w:sz w:val="28"/>
    </w:rPr>
  </w:style>
  <w:style w:type="paragraph" w:styleId="3">
    <w:name w:val="heading 2"/>
    <w:basedOn w:val="1"/>
    <w:next w:val="1"/>
    <w:qFormat/>
    <w:uiPriority w:val="0"/>
    <w:pPr>
      <w:keepNext/>
      <w:widowControl w:val="0"/>
      <w:spacing w:line="720" w:lineRule="exact"/>
      <w:outlineLvl w:val="1"/>
    </w:pPr>
    <w:rPr>
      <w:rFonts w:ascii="黑体" w:hAnsi="黑体" w:eastAsia="楷体_GB2312"/>
      <w:sz w:val="28"/>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5">
    <w:name w:val="Normal Indent"/>
    <w:basedOn w:val="1"/>
    <w:qFormat/>
    <w:uiPriority w:val="0"/>
    <w:pPr>
      <w:ind w:firstLine="420"/>
    </w:pPr>
    <w:rPr>
      <w:szCs w:val="21"/>
    </w:rPr>
  </w:style>
  <w:style w:type="paragraph" w:styleId="6">
    <w:name w:val="annotation text"/>
    <w:basedOn w:val="1"/>
    <w:qFormat/>
    <w:uiPriority w:val="0"/>
    <w:pPr>
      <w:jc w:val="left"/>
    </w:pPr>
  </w:style>
  <w:style w:type="paragraph" w:styleId="7">
    <w:name w:val="Body Text"/>
    <w:basedOn w:val="1"/>
    <w:qFormat/>
    <w:uiPriority w:val="0"/>
    <w:pPr>
      <w:jc w:val="center"/>
    </w:pPr>
  </w:style>
  <w:style w:type="paragraph" w:styleId="8">
    <w:name w:val="Body Text Indent"/>
    <w:basedOn w:val="1"/>
    <w:qFormat/>
    <w:uiPriority w:val="0"/>
    <w:pPr>
      <w:spacing w:after="120"/>
      <w:ind w:left="420" w:leftChars="200"/>
    </w:pPr>
  </w:style>
  <w:style w:type="paragraph" w:styleId="9">
    <w:name w:val="Plain Text"/>
    <w:basedOn w:val="1"/>
    <w:qFormat/>
    <w:uiPriority w:val="0"/>
    <w:rPr>
      <w:rFonts w:ascii="宋体"/>
    </w:rPr>
  </w:style>
  <w:style w:type="paragraph" w:styleId="10">
    <w:name w:val="footer"/>
    <w:basedOn w:val="1"/>
    <w:qFormat/>
    <w:uiPriority w:val="0"/>
    <w:pPr>
      <w:tabs>
        <w:tab w:val="center" w:pos="4153"/>
        <w:tab w:val="right" w:pos="8306"/>
      </w:tabs>
      <w:snapToGrid w:val="0"/>
      <w:jc w:val="left"/>
    </w:pPr>
    <w:rPr>
      <w:sz w:val="18"/>
    </w:rPr>
  </w:style>
  <w:style w:type="paragraph" w:styleId="11">
    <w:name w:val="envelope return"/>
    <w:basedOn w:val="1"/>
    <w:unhideWhenUsed/>
    <w:qFormat/>
    <w:uiPriority w:val="0"/>
    <w:pPr>
      <w:snapToGrid w:val="0"/>
    </w:pPr>
    <w:rPr>
      <w:rFonts w:ascii="Arial" w:hAnsi="Arial"/>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
    <w:name w:val="Normal"/>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 w:type="character" w:customStyle="1" w:styleId="16">
    <w:name w:val="标题 1 Char"/>
    <w:link w:val="2"/>
    <w:qFormat/>
    <w:uiPriority w:val="0"/>
    <w:rPr>
      <w:rFonts w:ascii="黑体" w:eastAsia="黑体"/>
      <w:sz w:val="28"/>
    </w:rPr>
  </w:style>
  <w:style w:type="paragraph" w:customStyle="1" w:styleId="17">
    <w:name w:val="p0"/>
    <w:basedOn w:val="1"/>
    <w:qFormat/>
    <w:uiPriority w:val="0"/>
    <w:pPr>
      <w:widowControl/>
      <w:jc w:val="left"/>
    </w:pPr>
    <w:rPr>
      <w:rFonts w:ascii="Calibri" w:hAnsi="Calibri"/>
      <w:kern w:val="0"/>
      <w:szCs w:val="21"/>
    </w:rPr>
  </w:style>
  <w:style w:type="paragraph" w:customStyle="1" w:styleId="18">
    <w:name w:val="Default1"/>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9">
    <w:name w:val="null3"/>
    <w:hidden/>
    <w:qFormat/>
    <w:uiPriority w:val="0"/>
    <w:rPr>
      <w:rFonts w:hint="eastAsia" w:asciiTheme="minorHAnsi" w:hAnsiTheme="minorHAnsi" w:eastAsiaTheme="minorEastAsia" w:cstheme="minorBidi"/>
      <w:lang w:val="en-US" w:eastAsia="zh-Hans"/>
    </w:rPr>
  </w:style>
  <w:style w:type="paragraph" w:customStyle="1" w:styleId="20">
    <w:name w:val="List Paragraph"/>
    <w:basedOn w:val="1"/>
    <w:qFormat/>
    <w:uiPriority w:val="0"/>
    <w:pPr>
      <w:ind w:firstLine="200" w:firstLineChars="200"/>
    </w:pPr>
    <w:rPr>
      <w:szCs w:val="24"/>
    </w:rPr>
  </w:style>
  <w:style w:type="paragraph" w:customStyle="1" w:styleId="21">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22">
    <w:name w:val="列出段落1"/>
    <w:basedOn w:val="1"/>
    <w:qFormat/>
    <w:uiPriority w:val="0"/>
    <w:pPr>
      <w:ind w:firstLine="420" w:firstLineChars="200"/>
    </w:pPr>
    <w:rPr>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10216</Words>
  <Characters>10547</Characters>
  <Lines>0</Lines>
  <Paragraphs>0</Paragraphs>
  <TotalTime>0</TotalTime>
  <ScaleCrop>false</ScaleCrop>
  <LinksUpToDate>false</LinksUpToDate>
  <CharactersWithSpaces>12033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2023-07-26T09:00:00Z</dcterms:created>
  <dc:creator>hc618</dc:creator>
  <cp:lastModifiedBy>陕西华采招标有限公司</cp:lastModifiedBy>
  <cp:lastPrinted>2025-04-01T07:59:00Z</cp:lastPrinted>
  <dcterms:modified xsi:type="dcterms:W3CDTF">2026-06-26T08:55:28Z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9E724B8E9A8F48279104D4476B7E9153_13</vt:lpwstr>
  </property>
  <property fmtid="{D5CDD505-2E9C-101B-9397-08002B2CF9AE}" pid="4" name="KSOTemplateDocerSaveRecord">
    <vt:lpwstr>eyJoZGlkIjoiZWMxNWU5MTM1NDJhMzM3NzZlNjAyMmRiMjcyMmY4OWYiLCJ1c2VySWQiOiI5MzY1NjA0ODAifQ==</vt:lpwstr>
  </property>
</Properties>
</file>